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91.png" ContentType="image/png"/>
  <Override PartName="/word/media/rId94.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Rifampicin</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https://github.com/Open-Systems-Pharmacology/Rifampicin-Model/releases/tag/v1.0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3.3</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introduction" w:name="introduction"/>
      <w:bookmarkEnd w:id="introduction"/>
    </w:p>
    <w:p>
      <w:pPr>
        <w:pStyle w:val="FirstParagraph"/>
      </w:pPr>
      <w:r>
        <w:t xml:space="preserve">Rifampicin is an antibiotic used for the treatment of mycobacterium infections, including tuberculosis and leprosy. For the investigation of DDIs, rifampicin is an established potent inducer of multiple drug metabolizing enzymes (CYP3A4, CYP2B6, CYP2C8, CYP2C9, CYP2C19) and transporters (P-gp, MRP2, MRP3, MRP4, OATP1A2). In addition to its inducing capabilities, rifampicin also competitively inhibits enzymes and transporters like CYP3A4, P-gp, OATP1B1 and OATP1B3.</w:t>
      </w:r>
    </w:p>
    <w:p>
      <w:pPr>
        <w:pStyle w:val="BodyText"/>
      </w:pPr>
      <w:r>
        <w:t xml:space="preserve">The herein presented model represents the rifampicin model originally published by Hanke</w:t>
      </w:r>
      <w:r>
        <w:t xml:space="preserve"> </w:t>
      </w:r>
      <w:r>
        <w:rPr>
          <w:iCs/>
          <w:i/>
        </w:rPr>
        <w:t xml:space="preserve">et al.</w:t>
      </w:r>
      <w:r>
        <w:t xml:space="preserve"> </w:t>
      </w:r>
      <w:r>
        <w:t xml:space="preserve">(</w:t>
      </w:r>
      <w:hyperlink w:anchor="Xa559bd5247f9128e74e6edcc17de37648e8cde6">
        <w:r>
          <w:rPr>
            <w:rStyle w:val="Hyperlink"/>
          </w:rPr>
          <w:t xml:space="preserve">Hanke 2018</w:t>
        </w:r>
      </w:hyperlink>
      <w:r>
        <w:t xml:space="preserve">), and extended in later publications (</w:t>
      </w:r>
      <w:hyperlink w:anchor="Xa559bd5247f9128e74e6edcc17de37648e8cde6">
        <w:r>
          <w:rPr>
            <w:rStyle w:val="Hyperlink"/>
          </w:rPr>
          <w:t xml:space="preserve">Britz 2019</w:t>
        </w:r>
      </w:hyperlink>
      <w:r>
        <w:t xml:space="preserve">,</w:t>
      </w:r>
      <w:r>
        <w:t xml:space="preserve"> </w:t>
      </w:r>
      <w:hyperlink w:anchor="Xa559bd5247f9128e74e6edcc17de37648e8cde6">
        <w:r>
          <w:rPr>
            <w:rStyle w:val="Hyperlink"/>
          </w:rPr>
          <w:t xml:space="preserve">Türk 2019</w:t>
        </w:r>
      </w:hyperlink>
      <w:r>
        <w:t xml:space="preserve">,</w:t>
      </w:r>
      <w:r>
        <w:t xml:space="preserve"> </w:t>
      </w:r>
      <w:hyperlink w:anchor="Xa559bd5247f9128e74e6edcc17de37648e8cde6">
        <w:r>
          <w:rPr>
            <w:rStyle w:val="Hyperlink"/>
          </w:rPr>
          <w:t xml:space="preserve">Hanke 2021</w:t>
        </w:r>
      </w:hyperlink>
      <w:r>
        <w:t xml:space="preserve">). The model was originally established using various clinical studies, covering a dosing range of 300 to 600 mg after intravenous and oral administration of rifampicin. The original model focused specifically on the integration of effects on</w:t>
      </w:r>
      <w:r>
        <w:t xml:space="preserve"> </w:t>
      </w:r>
      <w:r>
        <w:rPr>
          <w:bCs/>
          <w:b/>
        </w:rPr>
        <w:t xml:space="preserve">CYP3A4</w:t>
      </w:r>
      <w:r>
        <w:t xml:space="preserve"> </w:t>
      </w:r>
      <w:r>
        <w:t xml:space="preserve">and</w:t>
      </w:r>
      <w:r>
        <w:t xml:space="preserve"> </w:t>
      </w:r>
      <w:r>
        <w:rPr>
          <w:bCs/>
          <w:b/>
        </w:rPr>
        <w:t xml:space="preserve">P-gp</w:t>
      </w:r>
      <w:r>
        <w:t xml:space="preserve"> </w:t>
      </w:r>
      <w:r>
        <w:t xml:space="preserve">by rifampicin. Britz</w:t>
      </w:r>
      <w:r>
        <w:t xml:space="preserve"> </w:t>
      </w:r>
      <w:r>
        <w:rPr>
          <w:iCs/>
          <w:i/>
        </w:rPr>
        <w:t xml:space="preserve">et al.</w:t>
      </w:r>
      <w:r>
        <w:t xml:space="preserve"> </w:t>
      </w:r>
      <w:r>
        <w:t xml:space="preserve">(</w:t>
      </w:r>
      <w:hyperlink w:anchor="Xa559bd5247f9128e74e6edcc17de37648e8cde6">
        <w:r>
          <w:rPr>
            <w:rStyle w:val="Hyperlink"/>
          </w:rPr>
          <w:t xml:space="preserve">Britz 2019</w:t>
        </w:r>
      </w:hyperlink>
      <w:r>
        <w:t xml:space="preserve">) integrated rifampicin-mediated induction of</w:t>
      </w:r>
      <w:r>
        <w:t xml:space="preserve"> </w:t>
      </w:r>
      <w:r>
        <w:rPr>
          <w:bCs/>
          <w:b/>
        </w:rPr>
        <w:t xml:space="preserve">CYP1A2</w:t>
      </w:r>
      <w:r>
        <w:t xml:space="preserve"> </w:t>
      </w:r>
      <w:r>
        <w:t xml:space="preserve">(and CYP2E1), Türk</w:t>
      </w:r>
      <w:r>
        <w:t xml:space="preserve"> </w:t>
      </w:r>
      <w:r>
        <w:rPr>
          <w:iCs/>
          <w:i/>
        </w:rPr>
        <w:t xml:space="preserve">et al.</w:t>
      </w:r>
      <w:r>
        <w:t xml:space="preserve"> </w:t>
      </w:r>
      <w:r>
        <w:t xml:space="preserve">(</w:t>
      </w:r>
      <w:hyperlink w:anchor="Xa559bd5247f9128e74e6edcc17de37648e8cde6">
        <w:r>
          <w:rPr>
            <w:rStyle w:val="Hyperlink"/>
          </w:rPr>
          <w:t xml:space="preserve">Türk 2019</w:t>
        </w:r>
      </w:hyperlink>
      <w:r>
        <w:t xml:space="preserve">) extended the model with regard to effects on</w:t>
      </w:r>
      <w:r>
        <w:t xml:space="preserve"> </w:t>
      </w:r>
      <w:r>
        <w:rPr>
          <w:bCs/>
          <w:b/>
        </w:rPr>
        <w:t xml:space="preserve">CYP2C8</w:t>
      </w:r>
      <w:r>
        <w:t xml:space="preserve"> </w:t>
      </w:r>
      <w:r>
        <w:t xml:space="preserve">and</w:t>
      </w:r>
      <w:r>
        <w:t xml:space="preserve"> </w:t>
      </w:r>
      <w:r>
        <w:rPr>
          <w:bCs/>
          <w:b/>
        </w:rPr>
        <w:t xml:space="preserve">OATP1B1</w:t>
      </w:r>
      <w:r>
        <w:t xml:space="preserve">. Later,</w:t>
      </w:r>
      <w:r>
        <w:t xml:space="preserve"> </w:t>
      </w:r>
      <w:hyperlink w:anchor="Xa559bd5247f9128e74e6edcc17de37648e8cde6">
        <w:r>
          <w:rPr>
            <w:rStyle w:val="Hyperlink"/>
          </w:rPr>
          <w:t xml:space="preserve">Hanke 2021</w:t>
        </w:r>
      </w:hyperlink>
      <w:r>
        <w:t xml:space="preserve"> </w:t>
      </w:r>
      <w:r>
        <w:t xml:space="preserve">updated</w:t>
      </w:r>
      <w:r>
        <w:t xml:space="preserve"> </w:t>
      </w:r>
      <w:r>
        <w:rPr>
          <w:bCs/>
          <w:b/>
        </w:rPr>
        <w:t xml:space="preserve">P-gp</w:t>
      </w:r>
      <w:r>
        <w:t xml:space="preserve">,</w:t>
      </w:r>
      <w:r>
        <w:t xml:space="preserve"> </w:t>
      </w:r>
      <w:r>
        <w:rPr>
          <w:bCs/>
          <w:b/>
        </w:rPr>
        <w:t xml:space="preserve">OATP1B1</w:t>
      </w:r>
      <w:r>
        <w:t xml:space="preserve"> </w:t>
      </w:r>
      <w:r>
        <w:t xml:space="preserve">and</w:t>
      </w:r>
      <w:r>
        <w:t xml:space="preserve"> </w:t>
      </w:r>
      <w:r>
        <w:rPr>
          <w:bCs/>
          <w:b/>
        </w:rPr>
        <w:t xml:space="preserve">OATP1B3</w:t>
      </w:r>
      <w:r>
        <w:t xml:space="preserve"> </w:t>
      </w:r>
      <w:r>
        <w:t xml:space="preserve">interaction and added</w:t>
      </w:r>
      <w:r>
        <w:t xml:space="preserve"> </w:t>
      </w:r>
      <w:r>
        <w:rPr>
          <w:bCs/>
          <w:b/>
        </w:rPr>
        <w:t xml:space="preserve">CYP2C9</w:t>
      </w:r>
      <w:r>
        <w:t xml:space="preserve">,</w:t>
      </w:r>
      <w:r>
        <w:t xml:space="preserve"> </w:t>
      </w:r>
      <w:r>
        <w:rPr>
          <w:bCs/>
          <w:b/>
        </w:rPr>
        <w:t xml:space="preserve">BCRP</w:t>
      </w:r>
      <w:r>
        <w:t xml:space="preserve"> </w:t>
      </w:r>
      <w:r>
        <w:t xml:space="preserve">and</w:t>
      </w:r>
      <w:r>
        <w:t xml:space="preserve"> </w:t>
      </w:r>
      <w:r>
        <w:rPr>
          <w:bCs/>
          <w:b/>
        </w:rPr>
        <w:t xml:space="preserve">OATP2B1</w:t>
      </w:r>
      <w:r>
        <w:t xml:space="preserve"> </w:t>
      </w:r>
      <w:r>
        <w:t xml:space="preserve">interaction.</w:t>
      </w:r>
    </w:p>
    <w:p>
      <w:pPr>
        <w:pStyle w:val="BodyText"/>
      </w:pPr>
      <w:r>
        <w:t xml:space="preserve">It is known that for both CYP3A4 and P-gp, rifampicin shows inductive and inhibitory effects. While induction by rifampicin involves gene expression and therefore takes several days to fully develop, competitive inhibition has an instantaneous effect and is strongest at the time of highest exposure to the inhibitor. As a consequence, the effects of rifampicin caused via competitive inhibition are most prominent 1-2 h after its oral administration and of relatively short duration. These opposing effects of rifampicin can be reasonably considered in PBPK models.</w:t>
      </w:r>
    </w:p>
    <w:p>
      <w:pPr>
        <w:pStyle w:val="BodyText"/>
      </w:pPr>
      <w:r>
        <w:t xml:space="preserve">Integrating and testing processes that were described as vital to the pharmacokinetics of rifampicin itself resulted in a final model that applies transport by OATP1B1, metabolism by arylacetamide deacetylase (AADAC), transport by P-gp and glomerular filtration. Furthermore, auto-induction of OATP1B1, AADAC and P-gp expression has been incorporated.</w:t>
      </w:r>
    </w:p>
    <w:bookmarkEnd w:id="20"/>
    <w:bookmarkStart w:id="47" w:name="methods"/>
    <w:p>
      <w:pPr>
        <w:pStyle w:val="Heading1"/>
      </w:pPr>
      <w:r>
        <w:t xml:space="preserve">Methods</w:t>
      </w:r>
      <w:bookmarkStart w:id="methods" w:name="methods"/>
      <w:bookmarkEnd w:id="methods"/>
    </w:p>
    <w:bookmarkStart w:id="21" w:name="modeling-strategy"/>
    <w:p>
      <w:pPr>
        <w:pStyle w:val="Heading2"/>
      </w:pPr>
      <w:r>
        <w:t xml:space="preserve">Modeling Strategy</w:t>
      </w:r>
      <w:bookmarkStart w:id="modeling-strategy" w:name="modeling-strategy"/>
      <w:bookmarkEnd w:id="modeling-strategy"/>
    </w:p>
    <w:p>
      <w:pPr>
        <w:pStyle w:val="FirstParagraph"/>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The applied activity and variability of plasma proteins and active processes that are integrated into PK-Sim® are described in the publicly available PK-Sim® Ontogeny Database Version 7.3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The model was built combining bottom-up and top-down techniques. An extensive literature search yielded (1) physicochemical parameter values (2) information on active ADME and DDI-related (i.e. induction and inhibition) processes and (3) clinical studies of intravenous and oral administration in single and multiple dosing regimens, covering a broad dosing range with observed concentrations.</w:t>
      </w:r>
    </w:p>
    <w:p>
      <w:pPr>
        <w:pStyle w:val="BodyText"/>
      </w:pPr>
      <w:r>
        <w:t xml:space="preserve">A mean PBPK model was developed using a typical European individual. Enterohepatic recycling for transport processes into the bile was enabled in a continuous fashion (continuous flow from the liver to the lumen of duodenum). One study was performed in female patients after cholecystectomy (</w:t>
      </w:r>
      <w:hyperlink w:anchor="Xa559bd5247f9128e74e6edcc17de37648e8cde6">
        <w:r>
          <w:rPr>
            <w:rStyle w:val="Hyperlink"/>
          </w:rPr>
          <w:t xml:space="preserve">Acocella 1972a</w:t>
        </w:r>
      </w:hyperlink>
      <w:r>
        <w:t xml:space="preserve">). The bile of these patients was collected via a T tube. In the simulations of these patients, enterohepatic recycling was switched off and a virtual gallbladder collected the excreted rifampicin over time. Relevant ADME processes reported to influence the PK of rifampicin were implemented into the model and tested. For parameters that could not be (reliably) informed from literature, parameter identification was performed using a representative set of available clinical studies (see below). Model evaluation was based on the ability of the model to describe observed plasma concentration-time profiles and fraction excreted of unchanged drug to urine and bile.</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681d1fae3f233cf07e1ee33c73d775b8586b96f">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
    <w:p>
      <w:pPr>
        <w:pStyle w:val="Heading2"/>
      </w:pPr>
      <w:r>
        <w:t xml:space="preserve">Data</w:t>
      </w:r>
      <w:bookmarkStart w:id="data" w:name="data"/>
      <w:bookmarkEnd w:id="data"/>
    </w:p>
    <w:bookmarkStart w:id="22" w:name="in-vitro-and-physicochemical-data"/>
    <w:p>
      <w:pPr>
        <w:pStyle w:val="Heading3"/>
      </w:pPr>
      <w:r>
        <w:t xml:space="preserve">2.2.1 In vitro and physicochemical data</w:t>
      </w:r>
    </w:p>
    <w:p>
      <w:pPr>
        <w:pStyle w:val="FirstParagraph"/>
      </w:pPr>
      <w:r>
        <w:t xml:space="preserve">A literature search was performed to collect available information on physicochemical properties of rifampicin. The obtained information from literature is summarized in the table below, and is used for model building.</w:t>
      </w:r>
    </w:p>
    <w:tbl>
      <w:tblPr>
        <w:tblStyle w:val="Table"/>
        <w:tblW w:type="pct" w:w="5000"/>
        <w:tblLook w:firstRow="1" w:lastRow="0" w:firstColumn="0" w:lastColumn="0" w:noHBand="0" w:noVBand="0" w:val="0020"/>
        <w:jc w:val="start"/>
      </w:tblPr>
      <w:tblGrid>
        <w:gridCol w:w="1697"/>
        <w:gridCol w:w="1479"/>
        <w:gridCol w:w="696"/>
        <w:gridCol w:w="1436"/>
        <w:gridCol w:w="2610"/>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822.940</w:t>
            </w:r>
          </w:p>
        </w:tc>
        <w:tc>
          <w:tcPr/>
          <w:p>
            <w:pPr>
              <w:pStyle w:val="Compact"/>
              <w:jc w:val="left"/>
            </w:pPr>
            <w:hyperlink w:anchor="Xa559bd5247f9128e74e6edcc17de37648e8cde6">
              <w:r>
                <w:rPr>
                  <w:rStyle w:val="Hyperlink"/>
                </w:rPr>
                <w:t xml:space="preserve">DrugBank DB01045</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a,base</w:t>
            </w:r>
          </w:p>
        </w:tc>
        <w:tc>
          <w:tcPr/>
          <w:p>
            <w:pPr>
              <w:pStyle w:val="Compact"/>
            </w:pPr>
          </w:p>
        </w:tc>
        <w:tc>
          <w:tcPr/>
          <w:p>
            <w:pPr>
              <w:pStyle w:val="Compact"/>
              <w:jc w:val="left"/>
            </w:pPr>
            <w:r>
              <w:t xml:space="preserve">7.9</w:t>
            </w:r>
          </w:p>
        </w:tc>
        <w:tc>
          <w:tcPr/>
          <w:p>
            <w:pPr>
              <w:pStyle w:val="Compact"/>
              <w:jc w:val="left"/>
            </w:pPr>
            <w:hyperlink w:anchor="Xa559bd5247f9128e74e6edcc17de37648e8cde6">
              <w:r>
                <w:rPr>
                  <w:rStyle w:val="Hyperlink"/>
                </w:rPr>
                <w:t xml:space="preserve">The Merck Index</w:t>
              </w:r>
            </w:hyperlink>
          </w:p>
        </w:tc>
        <w:tc>
          <w:tcPr/>
          <w:p>
            <w:pPr>
              <w:pStyle w:val="Compact"/>
              <w:jc w:val="left"/>
            </w:pPr>
            <w:r>
              <w:t xml:space="preserve">Basic dissociation constant</w:t>
            </w:r>
          </w:p>
        </w:tc>
      </w:tr>
      <w:tr>
        <w:tc>
          <w:tcPr/>
          <w:p>
            <w:pPr>
              <w:pStyle w:val="Compact"/>
              <w:jc w:val="left"/>
            </w:pPr>
            <w:r>
              <w:t xml:space="preserve">pK</w:t>
            </w:r>
            <w:r>
              <w:rPr>
                <w:vertAlign w:val="subscript"/>
              </w:rPr>
              <w:t xml:space="preserve">a,acid</w:t>
            </w:r>
          </w:p>
        </w:tc>
        <w:tc>
          <w:tcPr/>
          <w:p>
            <w:pPr>
              <w:pStyle w:val="Compact"/>
            </w:pPr>
          </w:p>
        </w:tc>
        <w:tc>
          <w:tcPr/>
          <w:p>
            <w:pPr>
              <w:pStyle w:val="Compact"/>
              <w:jc w:val="left"/>
            </w:pPr>
            <w:r>
              <w:t xml:space="preserve">1.7</w:t>
            </w:r>
          </w:p>
        </w:tc>
        <w:tc>
          <w:tcPr/>
          <w:p>
            <w:pPr>
              <w:pStyle w:val="Compact"/>
              <w:jc w:val="left"/>
            </w:pPr>
            <w:hyperlink w:anchor="Xa559bd5247f9128e74e6edcc17de37648e8cde6">
              <w:r>
                <w:rPr>
                  <w:rStyle w:val="Hyperlink"/>
                </w:rPr>
                <w:t xml:space="preserve">The Merck Index</w:t>
              </w:r>
            </w:hyperlink>
          </w:p>
        </w:tc>
        <w:tc>
          <w:tcPr/>
          <w:p>
            <w:pPr>
              <w:pStyle w:val="Compact"/>
              <w:jc w:val="left"/>
            </w:pPr>
            <w:r>
              <w:t xml:space="preserve">Acid dissociation constant</w:t>
            </w:r>
          </w:p>
        </w:tc>
      </w:tr>
      <w:tr>
        <w:tc>
          <w:tcPr/>
          <w:p>
            <w:pPr>
              <w:pStyle w:val="Compact"/>
              <w:jc w:val="left"/>
            </w:pPr>
            <w:r>
              <w:t xml:space="preserve">Solubility (pH)</w:t>
            </w:r>
          </w:p>
        </w:tc>
        <w:tc>
          <w:tcPr/>
          <w:p>
            <w:pPr>
              <w:pStyle w:val="Compact"/>
              <w:jc w:val="left"/>
            </w:pPr>
            <w:r>
              <w:t xml:space="preserve">mg/L</w:t>
            </w:r>
          </w:p>
        </w:tc>
        <w:tc>
          <w:tcPr/>
          <w:p>
            <w:pPr>
              <w:pStyle w:val="Compact"/>
              <w:jc w:val="left"/>
            </w:pPr>
            <w:r>
              <w:t xml:space="preserve">1100</w:t>
            </w:r>
            <w:r>
              <w:t xml:space="preserve">(6.5)</w:t>
            </w:r>
          </w:p>
        </w:tc>
        <w:tc>
          <w:tcPr/>
          <w:p>
            <w:pPr>
              <w:pStyle w:val="Compact"/>
              <w:jc w:val="left"/>
            </w:pPr>
            <w:hyperlink w:anchor="Xa559bd5247f9128e74e6edcc17de37648e8cde6">
              <w:r>
                <w:rPr>
                  <w:rStyle w:val="Hyperlink"/>
                </w:rPr>
                <w:t xml:space="preserve">Baneyx 2014</w:t>
              </w:r>
            </w:hyperlink>
          </w:p>
        </w:tc>
        <w:tc>
          <w:tcPr/>
          <w:p>
            <w:pPr>
              <w:pStyle w:val="Compact"/>
              <w:jc w:val="left"/>
            </w:pPr>
            <w:r>
              <w:t xml:space="preserve">Solubility</w:t>
            </w:r>
          </w:p>
        </w:tc>
      </w:tr>
      <w:tr>
        <w:tc>
          <w:tcPr/>
          <w:p>
            <w:pPr>
              <w:pStyle w:val="Compact"/>
            </w:pPr>
          </w:p>
        </w:tc>
        <w:tc>
          <w:tcPr/>
          <w:p>
            <w:pPr>
              <w:pStyle w:val="Compact"/>
            </w:pPr>
          </w:p>
        </w:tc>
        <w:tc>
          <w:tcPr/>
          <w:p>
            <w:pPr>
              <w:pStyle w:val="Compact"/>
              <w:jc w:val="left"/>
            </w:pPr>
            <w:r>
              <w:t xml:space="preserve">1400</w:t>
            </w:r>
            <w:r>
              <w:t xml:space="preserve">(6.8)</w:t>
            </w:r>
          </w:p>
        </w:tc>
        <w:tc>
          <w:tcPr/>
          <w:p>
            <w:pPr>
              <w:pStyle w:val="Compact"/>
              <w:jc w:val="left"/>
            </w:pPr>
            <w:hyperlink w:anchor="Xa559bd5247f9128e74e6edcc17de37648e8cde6">
              <w:r>
                <w:rPr>
                  <w:rStyle w:val="Hyperlink"/>
                </w:rPr>
                <w:t xml:space="preserve">Panchagnula 2006</w:t>
              </w:r>
            </w:hyperlink>
          </w:p>
        </w:tc>
        <w:tc>
          <w:tcPr/>
          <w:p>
            <w:pPr>
              <w:pStyle w:val="Compact"/>
              <w:jc w:val="left"/>
            </w:pPr>
            <w:r>
              <w:t xml:space="preserve">Solubility</w:t>
            </w:r>
          </w:p>
        </w:tc>
      </w:tr>
      <w:tr>
        <w:tc>
          <w:tcPr/>
          <w:p>
            <w:pPr>
              <w:pStyle w:val="Compact"/>
            </w:pPr>
          </w:p>
        </w:tc>
        <w:tc>
          <w:tcPr/>
          <w:p>
            <w:pPr>
              <w:pStyle w:val="Compact"/>
            </w:pPr>
          </w:p>
        </w:tc>
        <w:tc>
          <w:tcPr/>
          <w:p>
            <w:pPr>
              <w:pStyle w:val="Compact"/>
              <w:jc w:val="left"/>
            </w:pPr>
            <w:r>
              <w:t xml:space="preserve">990</w:t>
            </w:r>
            <w:r>
              <w:t xml:space="preserve">(4)</w:t>
            </w:r>
          </w:p>
        </w:tc>
        <w:tc>
          <w:tcPr/>
          <w:p>
            <w:pPr>
              <w:pStyle w:val="Compact"/>
              <w:jc w:val="left"/>
            </w:pPr>
            <w:hyperlink w:anchor="Xa559bd5247f9128e74e6edcc17de37648e8cde6">
              <w:r>
                <w:rPr>
                  <w:rStyle w:val="Hyperlink"/>
                </w:rPr>
                <w:t xml:space="preserve">Agrawal 2005</w:t>
              </w:r>
            </w:hyperlink>
          </w:p>
        </w:tc>
        <w:tc>
          <w:tcPr/>
          <w:p>
            <w:pPr>
              <w:pStyle w:val="Compact"/>
              <w:jc w:val="left"/>
            </w:pPr>
            <w:r>
              <w:t xml:space="preserve">Solubility</w:t>
            </w:r>
          </w:p>
        </w:tc>
      </w:tr>
      <w:tr>
        <w:tc>
          <w:tcPr/>
          <w:p>
            <w:pPr>
              <w:pStyle w:val="Compact"/>
            </w:pPr>
          </w:p>
        </w:tc>
        <w:tc>
          <w:tcPr/>
          <w:p>
            <w:pPr>
              <w:pStyle w:val="Compact"/>
            </w:pPr>
          </w:p>
        </w:tc>
        <w:tc>
          <w:tcPr/>
          <w:p>
            <w:pPr>
              <w:pStyle w:val="Compact"/>
              <w:jc w:val="left"/>
            </w:pPr>
            <w:r>
              <w:t xml:space="preserve">1650</w:t>
            </w:r>
            <w:r>
              <w:t xml:space="preserve">(6)</w:t>
            </w:r>
          </w:p>
        </w:tc>
        <w:tc>
          <w:tcPr/>
          <w:p>
            <w:pPr>
              <w:pStyle w:val="Compact"/>
              <w:jc w:val="left"/>
            </w:pPr>
            <w:hyperlink w:anchor="Xa559bd5247f9128e74e6edcc17de37648e8cde6">
              <w:r>
                <w:rPr>
                  <w:rStyle w:val="Hyperlink"/>
                </w:rPr>
                <w:t xml:space="preserve">Agrawal 2005</w:t>
              </w:r>
            </w:hyperlink>
          </w:p>
        </w:tc>
        <w:tc>
          <w:tcPr/>
          <w:p>
            <w:pPr>
              <w:pStyle w:val="Compact"/>
              <w:jc w:val="left"/>
            </w:pPr>
            <w:r>
              <w:t xml:space="preserve">Solubility</w:t>
            </w:r>
          </w:p>
        </w:tc>
      </w:tr>
      <w:tr>
        <w:tc>
          <w:tcPr/>
          <w:p>
            <w:pPr>
              <w:pStyle w:val="Compact"/>
            </w:pPr>
          </w:p>
        </w:tc>
        <w:tc>
          <w:tcPr/>
          <w:p>
            <w:pPr>
              <w:pStyle w:val="Compact"/>
            </w:pPr>
          </w:p>
        </w:tc>
        <w:tc>
          <w:tcPr/>
          <w:p>
            <w:pPr>
              <w:pStyle w:val="Compact"/>
              <w:jc w:val="left"/>
            </w:pPr>
            <w:r>
              <w:t xml:space="preserve">2540</w:t>
            </w:r>
            <w:r>
              <w:t xml:space="preserve">(6.8)</w:t>
            </w:r>
          </w:p>
        </w:tc>
        <w:tc>
          <w:tcPr/>
          <w:p>
            <w:pPr>
              <w:pStyle w:val="Compact"/>
              <w:jc w:val="left"/>
            </w:pPr>
            <w:hyperlink w:anchor="Xa559bd5247f9128e74e6edcc17de37648e8cde6">
              <w:r>
                <w:rPr>
                  <w:rStyle w:val="Hyperlink"/>
                </w:rPr>
                <w:t xml:space="preserve">Agrawal 2005</w:t>
              </w:r>
            </w:hyperlink>
          </w:p>
        </w:tc>
        <w:tc>
          <w:tcPr/>
          <w:p>
            <w:pPr>
              <w:pStyle w:val="Compact"/>
              <w:jc w:val="left"/>
            </w:pPr>
            <w:r>
              <w:t xml:space="preserve">Solubility</w:t>
            </w:r>
          </w:p>
        </w:tc>
      </w:tr>
      <w:tr>
        <w:tc>
          <w:tcPr/>
          <w:p>
            <w:pPr>
              <w:pStyle w:val="Compact"/>
            </w:pPr>
          </w:p>
        </w:tc>
        <w:tc>
          <w:tcPr/>
          <w:p>
            <w:pPr>
              <w:pStyle w:val="Compact"/>
            </w:pPr>
          </w:p>
        </w:tc>
        <w:tc>
          <w:tcPr/>
          <w:p>
            <w:pPr>
              <w:pStyle w:val="Compact"/>
              <w:jc w:val="left"/>
            </w:pPr>
            <w:r>
              <w:t xml:space="preserve">3350</w:t>
            </w:r>
            <w:r>
              <w:t xml:space="preserve">(7.4)</w:t>
            </w:r>
          </w:p>
        </w:tc>
        <w:tc>
          <w:tcPr/>
          <w:p>
            <w:pPr>
              <w:pStyle w:val="Compact"/>
              <w:jc w:val="left"/>
            </w:pPr>
            <w:hyperlink w:anchor="Xa559bd5247f9128e74e6edcc17de37648e8cde6">
              <w:r>
                <w:rPr>
                  <w:rStyle w:val="Hyperlink"/>
                </w:rPr>
                <w:t xml:space="preserve">Agrawal 2005</w:t>
              </w:r>
            </w:hyperlink>
          </w:p>
        </w:tc>
        <w:tc>
          <w:tcPr/>
          <w:p>
            <w:pPr>
              <w:pStyle w:val="Compact"/>
              <w:jc w:val="left"/>
            </w:pPr>
            <w:r>
              <w:t xml:space="preserve">Solubility</w:t>
            </w:r>
          </w:p>
        </w:tc>
      </w:tr>
      <w:tr>
        <w:tc>
          <w:tcPr/>
          <w:p>
            <w:pPr>
              <w:pStyle w:val="Compact"/>
            </w:pPr>
          </w:p>
        </w:tc>
        <w:tc>
          <w:tcPr/>
          <w:p>
            <w:pPr>
              <w:pStyle w:val="Compact"/>
            </w:pPr>
          </w:p>
        </w:tc>
        <w:tc>
          <w:tcPr/>
          <w:p>
            <w:pPr>
              <w:pStyle w:val="Compact"/>
              <w:jc w:val="left"/>
            </w:pPr>
            <w:r>
              <w:t xml:space="preserve">2800</w:t>
            </w:r>
            <w:r>
              <w:t xml:space="preserve">(7.5)</w:t>
            </w:r>
          </w:p>
        </w:tc>
        <w:tc>
          <w:tcPr/>
          <w:p>
            <w:pPr>
              <w:pStyle w:val="Compact"/>
              <w:jc w:val="left"/>
            </w:pPr>
            <w:hyperlink w:anchor="Xa559bd5247f9128e74e6edcc17de37648e8cde6">
              <w:r>
                <w:rPr>
                  <w:rStyle w:val="Hyperlink"/>
                </w:rPr>
                <w:t xml:space="preserve">Boman 1974</w:t>
              </w:r>
            </w:hyperlink>
          </w:p>
        </w:tc>
        <w:tc>
          <w:tcPr/>
          <w:p>
            <w:pPr>
              <w:pStyle w:val="Compact"/>
              <w:jc w:val="left"/>
            </w:pPr>
            <w:r>
              <w:t xml:space="preserve">Aqueous solubility</w:t>
            </w:r>
          </w:p>
        </w:tc>
      </w:tr>
      <w:tr>
        <w:tc>
          <w:tcPr/>
          <w:p>
            <w:pPr>
              <w:pStyle w:val="Compact"/>
              <w:jc w:val="left"/>
            </w:pPr>
            <w:r>
              <w:t xml:space="preserve">logP</w:t>
            </w:r>
          </w:p>
        </w:tc>
        <w:tc>
          <w:tcPr/>
          <w:p>
            <w:pPr>
              <w:pStyle w:val="Compact"/>
            </w:pPr>
          </w:p>
        </w:tc>
        <w:tc>
          <w:tcPr/>
          <w:p>
            <w:pPr>
              <w:pStyle w:val="Compact"/>
              <w:jc w:val="left"/>
            </w:pPr>
            <w:r>
              <w:t xml:space="preserve">1.3</w:t>
            </w:r>
          </w:p>
        </w:tc>
        <w:tc>
          <w:tcPr/>
          <w:p>
            <w:pPr>
              <w:pStyle w:val="Compact"/>
              <w:jc w:val="left"/>
            </w:pPr>
            <w:hyperlink w:anchor="Xa559bd5247f9128e74e6edcc17de37648e8cde6">
              <w:r>
                <w:rPr>
                  <w:rStyle w:val="Hyperlink"/>
                </w:rPr>
                <w:t xml:space="preserve">Baneyx 2014</w:t>
              </w:r>
            </w:hyperlink>
          </w:p>
        </w:tc>
        <w:tc>
          <w:tcPr/>
          <w:p>
            <w:pPr>
              <w:pStyle w:val="Compact"/>
              <w:jc w:val="left"/>
            </w:pPr>
            <w:r>
              <w:t xml:space="preserve">Partition coefficient between octanol and water @ pH 7.4</w:t>
            </w:r>
          </w:p>
        </w:tc>
      </w:tr>
      <w:tr>
        <w:tc>
          <w:tcPr/>
          <w:p>
            <w:pPr>
              <w:pStyle w:val="Compact"/>
            </w:pPr>
          </w:p>
        </w:tc>
        <w:tc>
          <w:tcPr/>
          <w:p>
            <w:pPr>
              <w:pStyle w:val="Compact"/>
            </w:pPr>
          </w:p>
        </w:tc>
        <w:tc>
          <w:tcPr/>
          <w:p>
            <w:pPr>
              <w:pStyle w:val="Compact"/>
              <w:jc w:val="left"/>
            </w:pPr>
            <w:r>
              <w:t xml:space="preserve">2.7</w:t>
            </w:r>
          </w:p>
        </w:tc>
        <w:tc>
          <w:tcPr/>
          <w:p>
            <w:pPr>
              <w:pStyle w:val="Compact"/>
              <w:jc w:val="left"/>
            </w:pPr>
            <w:hyperlink w:anchor="Xa559bd5247f9128e74e6edcc17de37648e8cde6">
              <w:r>
                <w:rPr>
                  <w:rStyle w:val="Hyperlink"/>
                </w:rPr>
                <w:t xml:space="preserve">DrugBank DB01045</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11.1</w:t>
            </w:r>
          </w:p>
        </w:tc>
        <w:tc>
          <w:tcPr/>
          <w:p>
            <w:pPr>
              <w:pStyle w:val="Compact"/>
              <w:jc w:val="left"/>
            </w:pPr>
            <w:hyperlink w:anchor="Xa559bd5247f9128e74e6edcc17de37648e8cde6">
              <w:r>
                <w:rPr>
                  <w:rStyle w:val="Hyperlink"/>
                </w:rPr>
                <w:t xml:space="preserve">Boman 1974</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16.0</w:t>
            </w:r>
          </w:p>
        </w:tc>
        <w:tc>
          <w:tcPr/>
          <w:p>
            <w:pPr>
              <w:pStyle w:val="Compact"/>
              <w:jc w:val="left"/>
            </w:pPr>
            <w:hyperlink w:anchor="Xa559bd5247f9128e74e6edcc17de37648e8cde6">
              <w:r>
                <w:rPr>
                  <w:rStyle w:val="Hyperlink"/>
                </w:rPr>
                <w:t xml:space="preserve">Baneyx 2014</w:t>
              </w:r>
            </w:hyperlink>
          </w:p>
        </w:tc>
        <w:tc>
          <w:tcPr/>
          <w:p>
            <w:pPr>
              <w:pStyle w:val="Compact"/>
              <w:jc w:val="left"/>
            </w:pPr>
            <w:r>
              <w:t xml:space="preserve">Fraction unbound in plasma in tuberculosis patients</w:t>
            </w:r>
          </w:p>
        </w:tc>
      </w:tr>
      <w:tr>
        <w:tc>
          <w:tcPr/>
          <w:p>
            <w:pPr>
              <w:pStyle w:val="Compact"/>
            </w:pPr>
          </w:p>
        </w:tc>
        <w:tc>
          <w:tcPr/>
          <w:p>
            <w:pPr>
              <w:pStyle w:val="Compact"/>
              <w:jc w:val="left"/>
            </w:pPr>
            <w:r>
              <w:t xml:space="preserve">%</w:t>
            </w:r>
          </w:p>
        </w:tc>
        <w:tc>
          <w:tcPr/>
          <w:p>
            <w:pPr>
              <w:pStyle w:val="Compact"/>
              <w:jc w:val="left"/>
            </w:pPr>
            <w:r>
              <w:t xml:space="preserve">17</w:t>
            </w:r>
          </w:p>
        </w:tc>
        <w:tc>
          <w:tcPr/>
          <w:p>
            <w:pPr>
              <w:pStyle w:val="Compact"/>
              <w:jc w:val="left"/>
            </w:pPr>
            <w:hyperlink w:anchor="Xa559bd5247f9128e74e6edcc17de37648e8cde6">
              <w:r>
                <w:rPr>
                  <w:rStyle w:val="Hyperlink"/>
                </w:rPr>
                <w:t xml:space="preserve">Templeton 2011</w:t>
              </w:r>
            </w:hyperlink>
          </w:p>
        </w:tc>
        <w:tc>
          <w:tcPr/>
          <w:p>
            <w:pPr>
              <w:pStyle w:val="Compact"/>
              <w:jc w:val="left"/>
            </w:pPr>
            <w:r>
              <w:t xml:space="preserve">Fraction unbound in plasma</w:t>
            </w:r>
          </w:p>
        </w:tc>
      </w:tr>
      <w:tr>
        <w:tc>
          <w:tcPr/>
          <w:p>
            <w:pPr>
              <w:pStyle w:val="Compact"/>
            </w:pPr>
          </w:p>
        </w:tc>
        <w:tc>
          <w:tcPr/>
          <w:p>
            <w:pPr>
              <w:pStyle w:val="Compact"/>
              <w:jc w:val="left"/>
            </w:pPr>
            <w:r>
              <w:t xml:space="preserve">%</w:t>
            </w:r>
          </w:p>
        </w:tc>
        <w:tc>
          <w:tcPr/>
          <w:p>
            <w:pPr>
              <w:pStyle w:val="Compact"/>
              <w:jc w:val="left"/>
            </w:pPr>
            <w:r>
              <w:t xml:space="preserve">17.5</w:t>
            </w:r>
          </w:p>
        </w:tc>
        <w:tc>
          <w:tcPr/>
          <w:p>
            <w:pPr>
              <w:pStyle w:val="Compact"/>
              <w:jc w:val="left"/>
            </w:pPr>
            <w:hyperlink w:anchor="Xa559bd5247f9128e74e6edcc17de37648e8cde6">
              <w:r>
                <w:rPr>
                  <w:rStyle w:val="Hyperlink"/>
                </w:rPr>
                <w:t xml:space="preserve">Shou 2008</w:t>
              </w:r>
            </w:hyperlink>
          </w:p>
        </w:tc>
        <w:tc>
          <w:tcPr/>
          <w:p>
            <w:pPr>
              <w:pStyle w:val="Compact"/>
              <w:jc w:val="left"/>
            </w:pPr>
            <w:r>
              <w:t xml:space="preserve">Fraction unbound in plasma</w:t>
            </w:r>
          </w:p>
        </w:tc>
      </w:tr>
      <w:tr>
        <w:tc>
          <w:tcPr/>
          <w:p>
            <w:pPr>
              <w:pStyle w:val="Compact"/>
              <w:jc w:val="left"/>
            </w:pPr>
            <w:r>
              <w:t xml:space="preserve">B/P ratio</w:t>
            </w:r>
          </w:p>
        </w:tc>
        <w:tc>
          <w:tcPr/>
          <w:p>
            <w:pPr>
              <w:pStyle w:val="Compact"/>
            </w:pPr>
          </w:p>
        </w:tc>
        <w:tc>
          <w:tcPr/>
          <w:p>
            <w:pPr>
              <w:pStyle w:val="Compact"/>
              <w:jc w:val="left"/>
            </w:pPr>
            <w:r>
              <w:t xml:space="preserve">0.9</w:t>
            </w:r>
          </w:p>
        </w:tc>
        <w:tc>
          <w:tcPr/>
          <w:p>
            <w:pPr>
              <w:pStyle w:val="Compact"/>
              <w:jc w:val="left"/>
            </w:pPr>
            <w:hyperlink w:anchor="Xa559bd5247f9128e74e6edcc17de37648e8cde6">
              <w:r>
                <w:rPr>
                  <w:rStyle w:val="Hyperlink"/>
                </w:rPr>
                <w:t xml:space="preserve">Loos 1985</w:t>
              </w:r>
            </w:hyperlink>
          </w:p>
        </w:tc>
        <w:tc>
          <w:tcPr/>
          <w:p>
            <w:pPr>
              <w:pStyle w:val="Compact"/>
              <w:jc w:val="left"/>
            </w:pPr>
            <w:r>
              <w:t xml:space="preserve">Blood to plasma concentration ratio</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OATP1B1</w:t>
            </w:r>
          </w:p>
        </w:tc>
        <w:tc>
          <w:tcPr/>
          <w:p>
            <w:pPr>
              <w:pStyle w:val="Compact"/>
              <w:jc w:val="left"/>
            </w:pPr>
            <w:r>
              <w:t xml:space="preserve">pmol/min/mg,</w:t>
            </w:r>
            <w:r>
              <w:t xml:space="preserve">µmol/L</w:t>
            </w:r>
          </w:p>
        </w:tc>
        <w:tc>
          <w:tcPr/>
          <w:p>
            <w:pPr>
              <w:pStyle w:val="Compact"/>
              <w:jc w:val="left"/>
            </w:pPr>
            <w:r>
              <w:t xml:space="preserve">9.3</w:t>
            </w:r>
            <w:r>
              <w:t xml:space="preserve">1.5</w:t>
            </w:r>
          </w:p>
        </w:tc>
        <w:tc>
          <w:tcPr/>
          <w:p>
            <w:pPr>
              <w:pStyle w:val="Compact"/>
              <w:jc w:val="left"/>
            </w:pPr>
            <w:hyperlink w:anchor="Xa559bd5247f9128e74e6edcc17de37648e8cde6">
              <w:r>
                <w:rPr>
                  <w:rStyle w:val="Hyperlink"/>
                </w:rPr>
                <w:t xml:space="preserve">Tirona 2003</w:t>
              </w:r>
            </w:hyperlink>
          </w:p>
        </w:tc>
        <w:tc>
          <w:tcPr/>
          <w:p>
            <w:pPr>
              <w:pStyle w:val="Compact"/>
              <w:jc w:val="left"/>
            </w:pPr>
            <w:r>
              <w:t xml:space="preserve">OATP1B1 uptake in transfected HeLa cells</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 </w:t>
            </w:r>
            <w:r>
              <w:t xml:space="preserve">P-gp</w:t>
            </w:r>
          </w:p>
        </w:tc>
        <w:tc>
          <w:tcPr/>
          <w:p>
            <w:pPr>
              <w:pStyle w:val="Compact"/>
              <w:jc w:val="left"/>
            </w:pPr>
            <w:r>
              <w:t xml:space="preserve">nmol/h/cm</w:t>
            </w:r>
            <w:r>
              <w:rPr>
                <w:vertAlign w:val="superscript"/>
              </w:rPr>
              <w:t xml:space="preserve">2</w:t>
            </w:r>
            <w:r>
              <w:t xml:space="preserve">,</w:t>
            </w:r>
            <w:r>
              <w:t xml:space="preserve">µmol/L</w:t>
            </w:r>
          </w:p>
        </w:tc>
        <w:tc>
          <w:tcPr/>
          <w:p>
            <w:pPr>
              <w:pStyle w:val="Compact"/>
              <w:jc w:val="left"/>
            </w:pPr>
            <w:r>
              <w:t xml:space="preserve">4.3</w:t>
            </w:r>
            <w:r>
              <w:t xml:space="preserve">55</w:t>
            </w:r>
          </w:p>
        </w:tc>
        <w:tc>
          <w:tcPr/>
          <w:p>
            <w:pPr>
              <w:pStyle w:val="Compact"/>
              <w:jc w:val="left"/>
            </w:pPr>
            <w:hyperlink w:anchor="Xa559bd5247f9128e74e6edcc17de37648e8cde6">
              <w:r>
                <w:rPr>
                  <w:rStyle w:val="Hyperlink"/>
                </w:rPr>
                <w:t xml:space="preserve">Collett 2004</w:t>
              </w:r>
            </w:hyperlink>
          </w:p>
        </w:tc>
        <w:tc>
          <w:tcPr/>
          <w:p>
            <w:pPr>
              <w:pStyle w:val="Compact"/>
              <w:jc w:val="left"/>
            </w:pPr>
            <w:r>
              <w:t xml:space="preserve">P-gp net secretion across Caco-2 monolayers</w:t>
            </w:r>
          </w:p>
        </w:tc>
      </w:tr>
      <w:tr>
        <w:tc>
          <w:tcPr/>
          <w:p>
            <w:pPr>
              <w:pStyle w:val="Compact"/>
              <w:jc w:val="left"/>
            </w:pPr>
            <w:r>
              <w:t xml:space="preserve">V</w:t>
            </w:r>
            <w:r>
              <w:rPr>
                <w:vertAlign w:val="subscript"/>
              </w:rPr>
              <w:t xml:space="preserve">max</w:t>
            </w:r>
            <w:r>
              <w:t xml:space="preserve">, K</w:t>
            </w:r>
            <w:r>
              <w:rPr>
                <w:vertAlign w:val="subscript"/>
              </w:rPr>
              <w:t xml:space="preserve">m</w:t>
            </w:r>
            <w:r>
              <w:t xml:space="preserve"> </w:t>
            </w:r>
            <w:r>
              <w:t xml:space="preserve">AADAC</w:t>
            </w:r>
          </w:p>
        </w:tc>
        <w:tc>
          <w:tcPr/>
          <w:p>
            <w:pPr>
              <w:pStyle w:val="Compact"/>
              <w:jc w:val="left"/>
            </w:pPr>
            <w:r>
              <w:t xml:space="preserve">pmol/min/mg,</w:t>
            </w:r>
            <w:r>
              <w:t xml:space="preserve">µmol/L</w:t>
            </w:r>
          </w:p>
        </w:tc>
        <w:tc>
          <w:tcPr/>
          <w:p>
            <w:pPr>
              <w:pStyle w:val="Compact"/>
              <w:jc w:val="left"/>
            </w:pPr>
            <w:r>
              <w:t xml:space="preserve">162.6</w:t>
            </w:r>
            <w:r>
              <w:t xml:space="preserve">195.1</w:t>
            </w:r>
          </w:p>
        </w:tc>
        <w:tc>
          <w:tcPr/>
          <w:p>
            <w:pPr>
              <w:pStyle w:val="Compact"/>
              <w:jc w:val="left"/>
            </w:pPr>
            <w:hyperlink w:anchor="Xa559bd5247f9128e74e6edcc17de37648e8cde6">
              <w:r>
                <w:rPr>
                  <w:rStyle w:val="Hyperlink"/>
                </w:rPr>
                <w:t xml:space="preserve">Nakajima 2011</w:t>
              </w:r>
            </w:hyperlink>
          </w:p>
        </w:tc>
        <w:tc>
          <w:tcPr/>
          <w:p>
            <w:pPr>
              <w:pStyle w:val="Compact"/>
              <w:jc w:val="left"/>
            </w:pPr>
            <w:r>
              <w:t xml:space="preserve">Kinetic parameters of the deacetylase activity in HLM</w:t>
            </w:r>
          </w:p>
        </w:tc>
      </w:tr>
      <w:tr>
        <w:tc>
          <w:tcPr/>
          <w:p>
            <w:pPr>
              <w:pStyle w:val="Compact"/>
              <w:jc w:val="left"/>
            </w:pPr>
            <w:r>
              <w:t xml:space="preserve">E</w:t>
            </w:r>
            <w:r>
              <w:rPr>
                <w:vertAlign w:val="subscript"/>
              </w:rPr>
              <w:t xml:space="preserve">max</w:t>
            </w:r>
            <w:r>
              <w:t xml:space="preserve">, EC</w:t>
            </w:r>
            <w:r>
              <w:rPr>
                <w:vertAlign w:val="subscript"/>
              </w:rPr>
              <w:t xml:space="preserve">50</w:t>
            </w:r>
            <w:r>
              <w:t xml:space="preserve"> </w:t>
            </w:r>
            <w:r>
              <w:t xml:space="preserve">CYP3A4</w:t>
            </w:r>
          </w:p>
        </w:tc>
        <w:tc>
          <w:tcPr/>
          <w:p>
            <w:pPr>
              <w:pStyle w:val="Compact"/>
              <w:jc w:val="left"/>
            </w:pPr>
            <w:r>
              <w:rPr>
                <w:iCs/>
                <w:i/>
              </w:rPr>
              <w:t xml:space="preserve">dimensionless</w:t>
            </w:r>
            <w:r>
              <w:t xml:space="preserve">µmol/L</w:t>
            </w:r>
          </w:p>
        </w:tc>
        <w:tc>
          <w:tcPr/>
          <w:p>
            <w:pPr>
              <w:pStyle w:val="Compact"/>
              <w:jc w:val="left"/>
            </w:pPr>
            <w:r>
              <w:t xml:space="preserve">9</w:t>
            </w:r>
            <w:r>
              <w:t xml:space="preserve">0.34</w:t>
            </w:r>
          </w:p>
        </w:tc>
        <w:tc>
          <w:tcPr/>
          <w:p>
            <w:pPr>
              <w:pStyle w:val="Compact"/>
              <w:jc w:val="left"/>
            </w:pPr>
            <w:hyperlink w:anchor="Xa559bd5247f9128e74e6edcc17de37648e8cde6">
              <w:r>
                <w:rPr>
                  <w:rStyle w:val="Hyperlink"/>
                </w:rPr>
                <w:t xml:space="preserve">Templeton 2011</w:t>
              </w:r>
            </w:hyperlink>
          </w:p>
        </w:tc>
        <w:tc>
          <w:tcPr/>
          <w:p>
            <w:pPr>
              <w:pStyle w:val="Compact"/>
              <w:jc w:val="left"/>
            </w:pPr>
            <w:r>
              <w:t xml:space="preserve">CYP3A4 induction parameters in primary human hepatocytes,</w:t>
            </w:r>
            <w:r>
              <w:t xml:space="preserve">EC</w:t>
            </w:r>
            <w:r>
              <w:rPr>
                <w:vertAlign w:val="subscript"/>
              </w:rPr>
              <w:t xml:space="preserve">50</w:t>
            </w:r>
            <w:r>
              <w:t xml:space="preserve"> </w:t>
            </w:r>
            <w:r>
              <w:t xml:space="preserve">corrected for fraction unbound in human hepatocytes of 0.419 as reported by</w:t>
            </w:r>
            <w:r>
              <w:t xml:space="preserve"> </w:t>
            </w:r>
            <w:hyperlink w:anchor="Xa559bd5247f9128e74e6edcc17de37648e8cde6">
              <w:r>
                <w:rPr>
                  <w:rStyle w:val="Hyperlink"/>
                </w:rPr>
                <w:t xml:space="preserve">Shou 2008</w:t>
              </w:r>
            </w:hyperlink>
          </w:p>
        </w:tc>
      </w:tr>
      <w:tr>
        <w:tc>
          <w:tcPr/>
          <w:p>
            <w:pPr>
              <w:pStyle w:val="Compact"/>
              <w:jc w:val="left"/>
            </w:pPr>
            <w:r>
              <w:t xml:space="preserve">K</w:t>
            </w:r>
            <w:r>
              <w:rPr>
                <w:vertAlign w:val="subscript"/>
              </w:rPr>
              <w:t xml:space="preserve">i</w:t>
            </w:r>
            <w:r>
              <w:t xml:space="preserve"> </w:t>
            </w:r>
            <w:r>
              <w:t xml:space="preserve">CYP3A4</w:t>
            </w:r>
          </w:p>
        </w:tc>
        <w:tc>
          <w:tcPr/>
          <w:p>
            <w:pPr>
              <w:pStyle w:val="Compact"/>
              <w:jc w:val="left"/>
            </w:pPr>
            <w:r>
              <w:t xml:space="preserve">µmol/L</w:t>
            </w:r>
          </w:p>
        </w:tc>
        <w:tc>
          <w:tcPr/>
          <w:p>
            <w:pPr>
              <w:pStyle w:val="Compact"/>
              <w:jc w:val="left"/>
            </w:pPr>
            <w:r>
              <w:t xml:space="preserve">18.5</w:t>
            </w:r>
          </w:p>
        </w:tc>
        <w:tc>
          <w:tcPr/>
          <w:p>
            <w:pPr>
              <w:pStyle w:val="Compact"/>
              <w:jc w:val="left"/>
            </w:pPr>
            <w:hyperlink w:anchor="Xa559bd5247f9128e74e6edcc17de37648e8cde6">
              <w:r>
                <w:rPr>
                  <w:rStyle w:val="Hyperlink"/>
                </w:rPr>
                <w:t xml:space="preserve">Kajosaari 2005</w:t>
              </w:r>
            </w:hyperlink>
          </w:p>
        </w:tc>
        <w:tc>
          <w:tcPr/>
          <w:p>
            <w:pPr>
              <w:pStyle w:val="Compact"/>
              <w:jc w:val="left"/>
            </w:pPr>
            <w:r>
              <w:t xml:space="preserve">CYP3A4 inhibition constant</w:t>
            </w:r>
          </w:p>
        </w:tc>
      </w:tr>
      <w:tr>
        <w:tc>
          <w:tcPr/>
          <w:p>
            <w:pPr>
              <w:pStyle w:val="Compact"/>
              <w:jc w:val="left"/>
            </w:pPr>
            <w:r>
              <w:t xml:space="preserve">E</w:t>
            </w:r>
            <w:r>
              <w:rPr>
                <w:vertAlign w:val="subscript"/>
              </w:rPr>
              <w:t xml:space="preserve">max</w:t>
            </w:r>
            <w:r>
              <w:t xml:space="preserve"> </w:t>
            </w:r>
            <w:r>
              <w:t xml:space="preserve">P-gp</w:t>
            </w:r>
          </w:p>
        </w:tc>
        <w:tc>
          <w:tcPr/>
          <w:p>
            <w:pPr>
              <w:pStyle w:val="Compact"/>
              <w:jc w:val="left"/>
            </w:pPr>
            <w:r>
              <w:rPr>
                <w:iCs/>
                <w:i/>
              </w:rPr>
              <w:t xml:space="preserve">dimensionless</w:t>
            </w:r>
          </w:p>
        </w:tc>
        <w:tc>
          <w:tcPr/>
          <w:p>
            <w:pPr>
              <w:pStyle w:val="Compact"/>
              <w:jc w:val="left"/>
            </w:pPr>
            <w:r>
              <w:t xml:space="preserve">2.5</w:t>
            </w:r>
          </w:p>
        </w:tc>
        <w:tc>
          <w:tcPr/>
          <w:p>
            <w:pPr>
              <w:pStyle w:val="Compact"/>
              <w:jc w:val="left"/>
            </w:pPr>
            <w:hyperlink w:anchor="Xa559bd5247f9128e74e6edcc17de37648e8cde6">
              <w:r>
                <w:rPr>
                  <w:rStyle w:val="Hyperlink"/>
                </w:rPr>
                <w:t xml:space="preserve">Greiner 1999</w:t>
              </w:r>
            </w:hyperlink>
          </w:p>
        </w:tc>
        <w:tc>
          <w:tcPr/>
          <w:p>
            <w:pPr>
              <w:pStyle w:val="Compact"/>
              <w:jc w:val="left"/>
            </w:pPr>
            <w:r>
              <w:t xml:space="preserve">P-gp induction parameter based on an increased intestinal P-gp content in duodenal biopsies of 3.5 after rifampicin treatment</w:t>
            </w:r>
          </w:p>
        </w:tc>
      </w:tr>
      <w:tr>
        <w:tc>
          <w:tcPr/>
          <w:p>
            <w:pPr>
              <w:pStyle w:val="Compact"/>
              <w:jc w:val="left"/>
            </w:pPr>
            <w:r>
              <w:t xml:space="preserve">K</w:t>
            </w:r>
            <w:r>
              <w:rPr>
                <w:vertAlign w:val="subscript"/>
              </w:rPr>
              <w:t xml:space="preserve">i</w:t>
            </w:r>
            <w:r>
              <w:t xml:space="preserve"> </w:t>
            </w:r>
            <w:r>
              <w:t xml:space="preserve">P-gp</w:t>
            </w:r>
          </w:p>
        </w:tc>
        <w:tc>
          <w:tcPr/>
          <w:p>
            <w:pPr>
              <w:pStyle w:val="Compact"/>
              <w:jc w:val="left"/>
            </w:pPr>
            <w:r>
              <w:t xml:space="preserve">µmol/L</w:t>
            </w:r>
          </w:p>
        </w:tc>
        <w:tc>
          <w:tcPr/>
          <w:p>
            <w:pPr>
              <w:pStyle w:val="Compact"/>
              <w:jc w:val="left"/>
            </w:pPr>
            <w:r>
              <w:t xml:space="preserve">9.1 (169.0)</w:t>
            </w:r>
          </w:p>
        </w:tc>
        <w:tc>
          <w:tcPr/>
          <w:p>
            <w:pPr>
              <w:pStyle w:val="Compact"/>
              <w:jc w:val="left"/>
            </w:pPr>
            <w:hyperlink w:anchor="Xa559bd5247f9128e74e6edcc17de37648e8cde6">
              <w:r>
                <w:rPr>
                  <w:rStyle w:val="Hyperlink"/>
                </w:rPr>
                <w:t xml:space="preserve">Hanke 2021</w:t>
              </w:r>
            </w:hyperlink>
            <w:r>
              <w:t xml:space="preserve"> </w:t>
            </w:r>
            <w:r>
              <w:t xml:space="preserve">(</w:t>
            </w:r>
            <w:hyperlink w:anchor="Xa559bd5247f9128e74e6edcc17de37648e8cde6">
              <w:r>
                <w:rPr>
                  <w:rStyle w:val="Hyperlink"/>
                </w:rPr>
                <w:t xml:space="preserve">Reitman 2011</w:t>
              </w:r>
            </w:hyperlink>
            <w:r>
              <w:t xml:space="preserve">)</w:t>
            </w:r>
          </w:p>
        </w:tc>
        <w:tc>
          <w:tcPr/>
          <w:p>
            <w:pPr>
              <w:pStyle w:val="Compact"/>
              <w:jc w:val="left"/>
            </w:pPr>
            <w:r>
              <w:t xml:space="preserve">P-gp inhibition constant</w:t>
            </w:r>
          </w:p>
        </w:tc>
      </w:tr>
      <w:tr>
        <w:tc>
          <w:tcPr/>
          <w:p>
            <w:pPr>
              <w:pStyle w:val="Compact"/>
              <w:jc w:val="left"/>
            </w:pPr>
            <w:r>
              <w:t xml:space="preserve">K</w:t>
            </w:r>
            <w:r>
              <w:rPr>
                <w:vertAlign w:val="subscript"/>
              </w:rPr>
              <w:t xml:space="preserve">i</w:t>
            </w:r>
            <w:r>
              <w:t xml:space="preserve"> </w:t>
            </w:r>
            <w:r>
              <w:t xml:space="preserve">BCRP</w:t>
            </w:r>
          </w:p>
        </w:tc>
        <w:tc>
          <w:tcPr/>
          <w:p>
            <w:pPr>
              <w:pStyle w:val="Compact"/>
              <w:jc w:val="left"/>
            </w:pPr>
            <w:r>
              <w:t xml:space="preserve">µmol/L</w:t>
            </w:r>
          </w:p>
        </w:tc>
        <w:tc>
          <w:tcPr/>
          <w:p>
            <w:pPr>
              <w:pStyle w:val="Compact"/>
              <w:jc w:val="left"/>
            </w:pPr>
            <w:r>
              <w:t xml:space="preserve">14</w:t>
            </w:r>
          </w:p>
        </w:tc>
        <w:tc>
          <w:tcPr/>
          <w:p>
            <w:pPr>
              <w:pStyle w:val="Compact"/>
              <w:jc w:val="left"/>
            </w:pPr>
            <w:hyperlink w:anchor="Xa559bd5247f9128e74e6edcc17de37648e8cde6">
              <w:r>
                <w:rPr>
                  <w:rStyle w:val="Hyperlink"/>
                </w:rPr>
                <w:t xml:space="preserve">Hanke 2021</w:t>
              </w:r>
            </w:hyperlink>
            <w:r>
              <w:t xml:space="preserve">,</w:t>
            </w:r>
            <w:r>
              <w:t xml:space="preserve"> </w:t>
            </w:r>
            <w:hyperlink w:anchor="Xa559bd5247f9128e74e6edcc17de37648e8cde6">
              <w:r>
                <w:rPr>
                  <w:rStyle w:val="Hyperlink"/>
                </w:rPr>
                <w:t xml:space="preserve">Prueksaritanont 2014</w:t>
              </w:r>
            </w:hyperlink>
            <w:r>
              <w:t xml:space="preserve">)</w:t>
            </w:r>
          </w:p>
        </w:tc>
        <w:tc>
          <w:tcPr/>
          <w:p>
            <w:pPr>
              <w:pStyle w:val="Compact"/>
              <w:jc w:val="left"/>
            </w:pPr>
            <w:r>
              <w:t xml:space="preserve">BCRP inhibition constant</w:t>
            </w:r>
          </w:p>
        </w:tc>
      </w:tr>
      <w:tr>
        <w:tc>
          <w:tcPr/>
          <w:p>
            <w:pPr>
              <w:pStyle w:val="Compact"/>
              <w:jc w:val="left"/>
            </w:pPr>
            <w:r>
              <w:t xml:space="preserve">K</w:t>
            </w:r>
            <w:r>
              <w:rPr>
                <w:vertAlign w:val="subscript"/>
              </w:rPr>
              <w:t xml:space="preserve">i</w:t>
            </w:r>
            <w:r>
              <w:t xml:space="preserve"> </w:t>
            </w:r>
            <w:r>
              <w:t xml:space="preserve">OATP1B1</w:t>
            </w:r>
          </w:p>
        </w:tc>
        <w:tc>
          <w:tcPr/>
          <w:p>
            <w:pPr>
              <w:pStyle w:val="Compact"/>
              <w:jc w:val="left"/>
            </w:pPr>
            <w:r>
              <w:t xml:space="preserve">µmol/L</w:t>
            </w:r>
          </w:p>
        </w:tc>
        <w:tc>
          <w:tcPr/>
          <w:p>
            <w:pPr>
              <w:pStyle w:val="Compact"/>
              <w:jc w:val="left"/>
            </w:pPr>
            <w:r>
              <w:t xml:space="preserve">0.29 (0.477)</w:t>
            </w:r>
          </w:p>
        </w:tc>
        <w:tc>
          <w:tcPr/>
          <w:p>
            <w:pPr>
              <w:pStyle w:val="Compact"/>
              <w:jc w:val="left"/>
            </w:pPr>
            <w:hyperlink w:anchor="Xa559bd5247f9128e74e6edcc17de37648e8cde6">
              <w:r>
                <w:rPr>
                  <w:rStyle w:val="Hyperlink"/>
                </w:rPr>
                <w:t xml:space="preserve">Hanke 2021</w:t>
              </w:r>
            </w:hyperlink>
            <w:r>
              <w:t xml:space="preserve">, (</w:t>
            </w:r>
            <w:hyperlink w:anchor="Xa559bd5247f9128e74e6edcc17de37648e8cde6">
              <w:r>
                <w:rPr>
                  <w:rStyle w:val="Hyperlink"/>
                </w:rPr>
                <w:t xml:space="preserve">Hirano 2006</w:t>
              </w:r>
            </w:hyperlink>
            <w:r>
              <w:t xml:space="preserve">)</w:t>
            </w:r>
          </w:p>
        </w:tc>
        <w:tc>
          <w:tcPr/>
          <w:p>
            <w:pPr>
              <w:pStyle w:val="Compact"/>
              <w:jc w:val="left"/>
            </w:pPr>
            <w:r>
              <w:t xml:space="preserve">OATP1B1 inhibition constant (based on OATP1B1-mediated pitavastatin uptake)</w:t>
            </w:r>
          </w:p>
        </w:tc>
      </w:tr>
      <w:tr>
        <w:tc>
          <w:tcPr/>
          <w:p>
            <w:pPr>
              <w:pStyle w:val="Compact"/>
              <w:jc w:val="left"/>
            </w:pPr>
            <w:r>
              <w:t xml:space="preserve">K</w:t>
            </w:r>
            <w:r>
              <w:rPr>
                <w:vertAlign w:val="subscript"/>
              </w:rPr>
              <w:t xml:space="preserve">i</w:t>
            </w:r>
            <w:r>
              <w:t xml:space="preserve"> </w:t>
            </w:r>
            <w:r>
              <w:t xml:space="preserve">OATP1B3</w:t>
            </w:r>
          </w:p>
        </w:tc>
        <w:tc>
          <w:tcPr/>
          <w:p>
            <w:pPr>
              <w:pStyle w:val="Compact"/>
              <w:jc w:val="left"/>
            </w:pPr>
            <w:r>
              <w:t xml:space="preserve">µmol/L</w:t>
            </w:r>
          </w:p>
        </w:tc>
        <w:tc>
          <w:tcPr/>
          <w:p>
            <w:pPr>
              <w:pStyle w:val="Compact"/>
              <w:jc w:val="left"/>
            </w:pPr>
            <w:r>
              <w:t xml:space="preserve">0.5 (0.9)</w:t>
            </w:r>
          </w:p>
        </w:tc>
        <w:tc>
          <w:tcPr/>
          <w:p>
            <w:pPr>
              <w:pStyle w:val="Compact"/>
              <w:jc w:val="left"/>
            </w:pPr>
            <w:hyperlink w:anchor="Xa559bd5247f9128e74e6edcc17de37648e8cde6">
              <w:r>
                <w:rPr>
                  <w:rStyle w:val="Hyperlink"/>
                </w:rPr>
                <w:t xml:space="preserve">Hanke 2021</w:t>
              </w:r>
            </w:hyperlink>
            <w:r>
              <w:t xml:space="preserve">, (</w:t>
            </w:r>
            <w:hyperlink w:anchor="Xa559bd5247f9128e74e6edcc17de37648e8cde6">
              <w:r>
                <w:rPr>
                  <w:rStyle w:val="Hyperlink"/>
                </w:rPr>
                <w:t xml:space="preserve">Annaert 2010</w:t>
              </w:r>
            </w:hyperlink>
            <w:r>
              <w:t xml:space="preserve">)</w:t>
            </w:r>
          </w:p>
        </w:tc>
        <w:tc>
          <w:tcPr/>
          <w:p>
            <w:pPr>
              <w:pStyle w:val="Compact"/>
              <w:jc w:val="left"/>
            </w:pPr>
            <w:r>
              <w:t xml:space="preserve">OATP1B3 inhibition constant</w:t>
            </w:r>
          </w:p>
        </w:tc>
      </w:tr>
      <w:tr>
        <w:tc>
          <w:tcPr/>
          <w:p>
            <w:pPr>
              <w:pStyle w:val="Compact"/>
              <w:jc w:val="left"/>
            </w:pPr>
            <w:r>
              <w:t xml:space="preserve">K</w:t>
            </w:r>
            <w:r>
              <w:rPr>
                <w:vertAlign w:val="subscript"/>
              </w:rPr>
              <w:t xml:space="preserve">i</w:t>
            </w:r>
            <w:r>
              <w:t xml:space="preserve"> </w:t>
            </w:r>
            <w:r>
              <w:t xml:space="preserve">OATP2B1</w:t>
            </w:r>
          </w:p>
        </w:tc>
        <w:tc>
          <w:tcPr/>
          <w:p>
            <w:pPr>
              <w:pStyle w:val="Compact"/>
              <w:jc w:val="left"/>
            </w:pPr>
            <w:r>
              <w:t xml:space="preserve">µmol/L</w:t>
            </w:r>
          </w:p>
        </w:tc>
        <w:tc>
          <w:tcPr/>
          <w:p>
            <w:pPr>
              <w:pStyle w:val="Compact"/>
              <w:jc w:val="left"/>
            </w:pPr>
            <w:r>
              <w:t xml:space="preserve">78.2</w:t>
            </w:r>
          </w:p>
        </w:tc>
        <w:tc>
          <w:tcPr/>
          <w:p>
            <w:pPr>
              <w:pStyle w:val="Compact"/>
              <w:jc w:val="left"/>
            </w:pPr>
            <w:hyperlink w:anchor="Xa559bd5247f9128e74e6edcc17de37648e8cde6">
              <w:r>
                <w:rPr>
                  <w:rStyle w:val="Hyperlink"/>
                </w:rPr>
                <w:t xml:space="preserve">Hanke 2021</w:t>
              </w:r>
            </w:hyperlink>
            <w:r>
              <w:t xml:space="preserve">,</w:t>
            </w:r>
            <w:r>
              <w:t xml:space="preserve"> </w:t>
            </w:r>
            <w:hyperlink w:anchor="Xa559bd5247f9128e74e6edcc17de37648e8cde6">
              <w:r>
                <w:rPr>
                  <w:rStyle w:val="Hyperlink"/>
                </w:rPr>
                <w:t xml:space="preserve">Zhang 2019</w:t>
              </w:r>
            </w:hyperlink>
          </w:p>
        </w:tc>
        <w:tc>
          <w:tcPr/>
          <w:p>
            <w:pPr>
              <w:pStyle w:val="Compact"/>
              <w:jc w:val="left"/>
            </w:pPr>
            <w:r>
              <w:t xml:space="preserve">OATP2B1 inhibition constant</w:t>
            </w:r>
          </w:p>
        </w:tc>
      </w:tr>
      <w:tr>
        <w:tc>
          <w:tcPr/>
          <w:p>
            <w:pPr>
              <w:pStyle w:val="Compact"/>
              <w:jc w:val="left"/>
            </w:pPr>
            <w:r>
              <w:t xml:space="preserve">E</w:t>
            </w:r>
            <w:r>
              <w:rPr>
                <w:vertAlign w:val="subscript"/>
              </w:rPr>
              <w:t xml:space="preserve">max</w:t>
            </w:r>
            <w:r>
              <w:t xml:space="preserve"> </w:t>
            </w:r>
            <w:r>
              <w:t xml:space="preserve">CYP2C8</w:t>
            </w:r>
          </w:p>
        </w:tc>
        <w:tc>
          <w:tcPr/>
          <w:p>
            <w:pPr>
              <w:pStyle w:val="Compact"/>
              <w:jc w:val="left"/>
            </w:pPr>
            <w:r>
              <w:rPr>
                <w:iCs/>
                <w:i/>
              </w:rPr>
              <w:t xml:space="preserve">dimensionless</w:t>
            </w:r>
          </w:p>
        </w:tc>
        <w:tc>
          <w:tcPr/>
          <w:p>
            <w:pPr>
              <w:pStyle w:val="Compact"/>
              <w:jc w:val="left"/>
            </w:pPr>
            <w:r>
              <w:t xml:space="preserve">3.2</w:t>
            </w:r>
          </w:p>
        </w:tc>
        <w:tc>
          <w:tcPr/>
          <w:p>
            <w:pPr>
              <w:pStyle w:val="Compact"/>
              <w:jc w:val="left"/>
            </w:pPr>
            <w:hyperlink w:anchor="Xa559bd5247f9128e74e6edcc17de37648e8cde6">
              <w:r>
                <w:rPr>
                  <w:rStyle w:val="Hyperlink"/>
                </w:rPr>
                <w:t xml:space="preserve">Buckley 2014</w:t>
              </w:r>
            </w:hyperlink>
          </w:p>
        </w:tc>
        <w:tc>
          <w:tcPr/>
          <w:p>
            <w:pPr>
              <w:pStyle w:val="Compact"/>
              <w:jc w:val="left"/>
            </w:pPr>
            <w:r>
              <w:t xml:space="preserve">CYP2C8 E</w:t>
            </w:r>
            <w:r>
              <w:rPr>
                <w:vertAlign w:val="subscript"/>
              </w:rPr>
              <w:t xml:space="preserve">max</w:t>
            </w:r>
            <w:r>
              <w:t xml:space="preserve"> </w:t>
            </w:r>
            <w:r>
              <w:t xml:space="preserve">in primary human hepatocytes (based on activity)</w:t>
            </w:r>
          </w:p>
        </w:tc>
      </w:tr>
      <w:tr>
        <w:tc>
          <w:tcPr/>
          <w:p>
            <w:pPr>
              <w:pStyle w:val="Compact"/>
              <w:jc w:val="left"/>
            </w:pPr>
            <w:r>
              <w:t xml:space="preserve">K</w:t>
            </w:r>
            <w:r>
              <w:rPr>
                <w:vertAlign w:val="subscript"/>
              </w:rPr>
              <w:t xml:space="preserve">i</w:t>
            </w:r>
            <w:r>
              <w:t xml:space="preserve"> </w:t>
            </w:r>
            <w:r>
              <w:t xml:space="preserve">CYP2C8</w:t>
            </w:r>
          </w:p>
        </w:tc>
        <w:tc>
          <w:tcPr/>
          <w:p>
            <w:pPr>
              <w:pStyle w:val="Compact"/>
              <w:jc w:val="left"/>
            </w:pPr>
            <w:r>
              <w:t xml:space="preserve">µmol/L</w:t>
            </w:r>
          </w:p>
        </w:tc>
        <w:tc>
          <w:tcPr/>
          <w:p>
            <w:pPr>
              <w:pStyle w:val="Compact"/>
              <w:jc w:val="left"/>
            </w:pPr>
            <w:r>
              <w:t xml:space="preserve">30.2</w:t>
            </w:r>
          </w:p>
        </w:tc>
        <w:tc>
          <w:tcPr/>
          <w:p>
            <w:pPr>
              <w:pStyle w:val="Compact"/>
              <w:jc w:val="left"/>
            </w:pPr>
            <w:hyperlink w:anchor="Xa559bd5247f9128e74e6edcc17de37648e8cde6">
              <w:r>
                <w:rPr>
                  <w:rStyle w:val="Hyperlink"/>
                </w:rPr>
                <w:t xml:space="preserve">Kajosaari 2005</w:t>
              </w:r>
            </w:hyperlink>
          </w:p>
        </w:tc>
        <w:tc>
          <w:tcPr/>
          <w:p>
            <w:pPr>
              <w:pStyle w:val="Compact"/>
              <w:jc w:val="left"/>
            </w:pPr>
            <w:r>
              <w:t xml:space="preserve">CYP2C8 inhibition constant</w:t>
            </w:r>
          </w:p>
        </w:tc>
      </w:tr>
      <w:tr>
        <w:tc>
          <w:tcPr/>
          <w:p>
            <w:pPr>
              <w:pStyle w:val="Compact"/>
              <w:jc w:val="left"/>
            </w:pPr>
            <w:r>
              <w:t xml:space="preserve">K</w:t>
            </w:r>
            <w:r>
              <w:rPr>
                <w:vertAlign w:val="subscript"/>
              </w:rPr>
              <w:t xml:space="preserve">i</w:t>
            </w:r>
            <w:r>
              <w:t xml:space="preserve"> </w:t>
            </w:r>
            <w:r>
              <w:t xml:space="preserve">CYP2C9</w:t>
            </w:r>
          </w:p>
        </w:tc>
        <w:tc>
          <w:tcPr/>
          <w:p>
            <w:pPr>
              <w:pStyle w:val="Compact"/>
              <w:jc w:val="left"/>
            </w:pPr>
            <w:r>
              <w:t xml:space="preserve">µmol/L</w:t>
            </w:r>
          </w:p>
        </w:tc>
        <w:tc>
          <w:tcPr/>
          <w:p>
            <w:pPr>
              <w:pStyle w:val="Compact"/>
              <w:jc w:val="left"/>
            </w:pPr>
            <w:r>
              <w:t xml:space="preserve">150</w:t>
            </w:r>
          </w:p>
        </w:tc>
        <w:tc>
          <w:tcPr/>
          <w:p>
            <w:pPr>
              <w:pStyle w:val="Compact"/>
              <w:jc w:val="left"/>
            </w:pPr>
            <w:hyperlink w:anchor="Xa559bd5247f9128e74e6edcc17de37648e8cde6">
              <w:r>
                <w:rPr>
                  <w:rStyle w:val="Hyperlink"/>
                </w:rPr>
                <w:t xml:space="preserve">Hanke 2021</w:t>
              </w:r>
            </w:hyperlink>
            <w:r>
              <w:t xml:space="preserve">,</w:t>
            </w:r>
            <w:r>
              <w:t xml:space="preserve"> </w:t>
            </w:r>
            <w:hyperlink w:anchor="Xa559bd5247f9128e74e6edcc17de37648e8cde6">
              <w:r>
                <w:rPr>
                  <w:rStyle w:val="Hyperlink"/>
                </w:rPr>
                <w:t xml:space="preserve">Yoshida 2012</w:t>
              </w:r>
            </w:hyperlink>
          </w:p>
        </w:tc>
        <w:tc>
          <w:tcPr/>
          <w:p>
            <w:pPr>
              <w:pStyle w:val="Compact"/>
              <w:jc w:val="left"/>
            </w:pPr>
            <w:r>
              <w:t xml:space="preserve">CYP2C9 inhibition constant</w:t>
            </w:r>
          </w:p>
        </w:tc>
      </w:tr>
      <w:tr>
        <w:tc>
          <w:tcPr/>
          <w:p>
            <w:pPr>
              <w:pStyle w:val="Compact"/>
              <w:jc w:val="left"/>
            </w:pPr>
            <w:r>
              <w:t xml:space="preserve">E</w:t>
            </w:r>
            <w:r>
              <w:rPr>
                <w:vertAlign w:val="subscript"/>
              </w:rPr>
              <w:t xml:space="preserve">max</w:t>
            </w:r>
            <w:r>
              <w:t xml:space="preserve"> </w:t>
            </w:r>
            <w:r>
              <w:t xml:space="preserve">CYP1A2</w:t>
            </w:r>
          </w:p>
        </w:tc>
        <w:tc>
          <w:tcPr/>
          <w:p>
            <w:pPr>
              <w:pStyle w:val="Compact"/>
              <w:jc w:val="left"/>
            </w:pPr>
            <w:r>
              <w:rPr>
                <w:iCs/>
                <w:i/>
              </w:rPr>
              <w:t xml:space="preserve">dimensionless</w:t>
            </w:r>
          </w:p>
        </w:tc>
        <w:tc>
          <w:tcPr/>
          <w:p>
            <w:pPr>
              <w:pStyle w:val="Compact"/>
              <w:jc w:val="left"/>
            </w:pPr>
            <w:r>
              <w:t xml:space="preserve">0.65</w:t>
            </w:r>
          </w:p>
        </w:tc>
        <w:tc>
          <w:tcPr/>
          <w:p>
            <w:pPr>
              <w:pStyle w:val="Compact"/>
              <w:jc w:val="left"/>
            </w:pPr>
            <w:hyperlink w:anchor="Xa559bd5247f9128e74e6edcc17de37648e8cde6">
              <w:r>
                <w:rPr>
                  <w:rStyle w:val="Hyperlink"/>
                </w:rPr>
                <w:t xml:space="preserve">Chen 2010</w:t>
              </w:r>
            </w:hyperlink>
          </w:p>
        </w:tc>
        <w:tc>
          <w:tcPr/>
          <w:p>
            <w:pPr>
              <w:pStyle w:val="Compact"/>
              <w:jc w:val="left"/>
            </w:pPr>
            <w:r>
              <w:t xml:space="preserve">CYP1A2 E</w:t>
            </w:r>
            <w:r>
              <w:rPr>
                <w:vertAlign w:val="subscript"/>
              </w:rPr>
              <w:t xml:space="preserve">max</w:t>
            </w:r>
            <w:r>
              <w:t xml:space="preserve"> </w:t>
            </w:r>
            <w:r>
              <w:t xml:space="preserve">in cultured human hepatocytes (based on activity)</w:t>
            </w:r>
          </w:p>
        </w:tc>
      </w:tr>
      <w:tr>
        <w:tc>
          <w:tcPr/>
          <w:p>
            <w:pPr>
              <w:pStyle w:val="Compact"/>
              <w:jc w:val="left"/>
            </w:pPr>
            <w:r>
              <w:t xml:space="preserve">E</w:t>
            </w:r>
            <w:r>
              <w:rPr>
                <w:vertAlign w:val="subscript"/>
              </w:rPr>
              <w:t xml:space="preserve">max</w:t>
            </w:r>
            <w:r>
              <w:t xml:space="preserve"> </w:t>
            </w:r>
            <w:r>
              <w:t xml:space="preserve">CYP2E1</w:t>
            </w:r>
          </w:p>
        </w:tc>
        <w:tc>
          <w:tcPr/>
          <w:p>
            <w:pPr>
              <w:pStyle w:val="Compact"/>
              <w:jc w:val="left"/>
            </w:pPr>
            <w:r>
              <w:rPr>
                <w:iCs/>
                <w:i/>
              </w:rPr>
              <w:t xml:space="preserve">dimensionless</w:t>
            </w:r>
          </w:p>
        </w:tc>
        <w:tc>
          <w:tcPr/>
          <w:p>
            <w:pPr>
              <w:pStyle w:val="Compact"/>
              <w:jc w:val="left"/>
            </w:pPr>
            <w:r>
              <w:t xml:space="preserve">0.8</w:t>
            </w:r>
          </w:p>
        </w:tc>
        <w:tc>
          <w:tcPr/>
          <w:p>
            <w:pPr>
              <w:pStyle w:val="Compact"/>
              <w:jc w:val="left"/>
            </w:pPr>
            <w:hyperlink w:anchor="Xa559bd5247f9128e74e6edcc17de37648e8cde6">
              <w:r>
                <w:rPr>
                  <w:rStyle w:val="Hyperlink"/>
                </w:rPr>
                <w:t xml:space="preserve">Rae 2001</w:t>
              </w:r>
            </w:hyperlink>
          </w:p>
        </w:tc>
        <w:tc>
          <w:tcPr/>
          <w:p>
            <w:pPr>
              <w:pStyle w:val="Compact"/>
              <w:jc w:val="left"/>
            </w:pPr>
            <w:r>
              <w:t xml:space="preserve">CYP2E1 fold induction of 1.8 calculated as the normalized ratio of expression in rifampin-treated versus vehicle control-treated cells</w:t>
            </w:r>
          </w:p>
        </w:tc>
      </w:tr>
    </w:tbl>
    <w:p>
      <w:pPr>
        <w:pStyle w:val="BodyText"/>
      </w:pPr>
      <w:r>
        <w:rPr>
          <w:iCs/>
          <w:i/>
        </w:rPr>
        <w:t xml:space="preserve">AADAC</w:t>
      </w:r>
      <w:r>
        <w:t xml:space="preserve"> </w:t>
      </w:r>
      <w:r>
        <w:t xml:space="preserve">arylacetamide deacetylase</w:t>
      </w:r>
    </w:p>
    <w:bookmarkEnd w:id="22"/>
    <w:bookmarkStart w:id="23" w:name="clinical-data"/>
    <w:p>
      <w:pPr>
        <w:pStyle w:val="Heading3"/>
      </w:pPr>
      <w:r>
        <w:t xml:space="preserve">2.2.2 Clinical data</w:t>
      </w:r>
    </w:p>
    <w:p>
      <w:pPr>
        <w:pStyle w:val="FirstParagraph"/>
      </w:pPr>
      <w:r>
        <w:t xml:space="preserve">A literature search was performed to collect available clinical data (plasma concentrations, fraction excreted into urine, fraction excreted into bile) on rifampicin in adults. The rifampicin model was built and verified using various clinical studies, covering a dosing range of 300 to 600 mg, administered intravenously or orally.</w:t>
      </w:r>
    </w:p>
    <w:p>
      <w:pPr>
        <w:pStyle w:val="BodyText"/>
      </w:pPr>
      <w:r>
        <w:t xml:space="preserve">The following dosing scenarios were simulated and compared to respective data:</w:t>
      </w:r>
    </w:p>
    <w:tbl>
      <w:tblPr>
        <w:tblStyle w:val="Table"/>
        <w:tblW w:type="pct" w:w="5000"/>
        <w:tblLook w:firstRow="1" w:lastRow="0" w:firstColumn="0" w:lastColumn="0" w:noHBand="0" w:noVBand="0" w:val="0020"/>
        <w:jc w:val="start"/>
      </w:tblPr>
      <w:tblGrid>
        <w:gridCol w:w="207"/>
        <w:gridCol w:w="580"/>
        <w:gridCol w:w="1036"/>
        <w:gridCol w:w="1534"/>
        <w:gridCol w:w="2487"/>
        <w:gridCol w:w="2073"/>
      </w:tblGrid>
      <w:tr>
        <w:trPr>
          <w:tblHeader w:val="true"/>
        </w:trPr>
        <w:tc>
          <w:tcPr/>
          <w:p>
            <w:pPr>
              <w:pStyle w:val="Compact"/>
              <w:jc w:val="left"/>
            </w:pPr>
            <w:r>
              <w:t xml:space="preserve">Route</w:t>
            </w:r>
          </w:p>
        </w:tc>
        <w:tc>
          <w:tcPr/>
          <w:p>
            <w:pPr>
              <w:pStyle w:val="Compact"/>
              <w:jc w:val="left"/>
            </w:pPr>
            <w:r>
              <w:t xml:space="preserve">Dose</w:t>
            </w:r>
            <w:r>
              <w:t xml:space="preserve">[mg]</w:t>
            </w:r>
          </w:p>
        </w:tc>
        <w:tc>
          <w:tcPr/>
          <w:p>
            <w:pPr>
              <w:pStyle w:val="Compact"/>
              <w:jc w:val="left"/>
            </w:pPr>
            <w:r>
              <w:t xml:space="preserve">Dosing</w:t>
            </w:r>
          </w:p>
        </w:tc>
        <w:tc>
          <w:tcPr/>
          <w:p>
            <w:pPr>
              <w:pStyle w:val="Compact"/>
              <w:jc w:val="left"/>
            </w:pPr>
            <w:r>
              <w:t xml:space="preserve">PK Data</w:t>
            </w:r>
          </w:p>
        </w:tc>
        <w:tc>
          <w:tcPr/>
          <w:p>
            <w:pPr>
              <w:pStyle w:val="Compact"/>
              <w:jc w:val="left"/>
            </w:pPr>
            <w:r>
              <w:t xml:space="preserve">Used for</w:t>
            </w:r>
            <w:r>
              <w:t xml:space="preserve"> </w:t>
            </w:r>
            <w:hyperlink w:anchor="X05e2fd9d2318e5c56a9c57cdc7e48acff331d27">
              <w:r>
                <w:rPr>
                  <w:rStyle w:val="Hyperlink"/>
                </w:rPr>
                <w:t xml:space="preserve">Optimization</w:t>
              </w:r>
            </w:hyperlink>
          </w:p>
        </w:tc>
        <w:tc>
          <w:tcPr/>
          <w:p>
            <w:pPr>
              <w:pStyle w:val="Compact"/>
              <w:jc w:val="left"/>
            </w:pPr>
            <w:r>
              <w:t xml:space="preserve">Reference</w:t>
            </w:r>
          </w:p>
        </w:tc>
      </w:tr>
      <w:tr>
        <w:tc>
          <w:tcPr/>
          <w:p>
            <w:pPr>
              <w:pStyle w:val="Compact"/>
              <w:jc w:val="left"/>
            </w:pPr>
            <w:r>
              <w:t xml:space="preserve">iv</w:t>
            </w:r>
          </w:p>
        </w:tc>
        <w:tc>
          <w:tcPr/>
          <w:p>
            <w:pPr>
              <w:pStyle w:val="Compact"/>
              <w:jc w:val="left"/>
            </w:pPr>
            <w:r>
              <w:t xml:space="preserve">300</w:t>
            </w:r>
          </w:p>
        </w:tc>
        <w:tc>
          <w:tcPr/>
          <w:p>
            <w:pPr>
              <w:pStyle w:val="Compact"/>
              <w:jc w:val="left"/>
            </w:pPr>
            <w:r>
              <w:t xml:space="preserve">SD, 30 min infusion</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Sanofi-Aventis U.S. LLC. 2013</w:t>
              </w:r>
            </w:hyperlink>
          </w:p>
        </w:tc>
      </w:tr>
      <w:tr>
        <w:tc>
          <w:tcPr/>
          <w:p>
            <w:pPr>
              <w:pStyle w:val="Compact"/>
            </w:pPr>
          </w:p>
        </w:tc>
        <w:tc>
          <w:tcPr/>
          <w:p>
            <w:pPr>
              <w:pStyle w:val="Compact"/>
            </w:pPr>
          </w:p>
        </w:tc>
        <w:tc>
          <w:tcPr/>
          <w:p>
            <w:pPr>
              <w:pStyle w:val="Compact"/>
              <w:jc w:val="left"/>
            </w:pPr>
            <w:r>
              <w:t xml:space="preserve">SD, 3 h infusion</w:t>
            </w:r>
          </w:p>
        </w:tc>
        <w:tc>
          <w:tcPr/>
          <w:p>
            <w:pPr>
              <w:pStyle w:val="Compact"/>
              <w:jc w:val="left"/>
            </w:pPr>
            <w:r>
              <w:t xml:space="preserve">Plasma, excretion into urine</w:t>
            </w:r>
          </w:p>
        </w:tc>
        <w:tc>
          <w:tcPr/>
          <w:p>
            <w:pPr>
              <w:pStyle w:val="Compact"/>
              <w:jc w:val="left"/>
            </w:pPr>
            <w:r>
              <w:t xml:space="preserve">x</w:t>
            </w:r>
          </w:p>
        </w:tc>
        <w:tc>
          <w:tcPr/>
          <w:p>
            <w:pPr>
              <w:pStyle w:val="Compact"/>
              <w:jc w:val="left"/>
            </w:pPr>
            <w:hyperlink w:anchor="Xa559bd5247f9128e74e6edcc17de37648e8cde6">
              <w:r>
                <w:rPr>
                  <w:rStyle w:val="Hyperlink"/>
                </w:rPr>
                <w:t xml:space="preserve">Nitti 1977</w:t>
              </w:r>
            </w:hyperlink>
          </w:p>
        </w:tc>
      </w:tr>
      <w:tr>
        <w:tc>
          <w:tcPr/>
          <w:p>
            <w:pPr>
              <w:pStyle w:val="Compact"/>
            </w:pPr>
          </w:p>
        </w:tc>
        <w:tc>
          <w:tcPr/>
          <w:p>
            <w:pPr>
              <w:pStyle w:val="Compact"/>
              <w:jc w:val="left"/>
            </w:pPr>
            <w:r>
              <w:t xml:space="preserve">450</w:t>
            </w:r>
          </w:p>
        </w:tc>
        <w:tc>
          <w:tcPr/>
          <w:p>
            <w:pPr>
              <w:pStyle w:val="Compact"/>
              <w:jc w:val="left"/>
            </w:pPr>
            <w:r>
              <w:t xml:space="preserve">SD, 3 h infusion</w:t>
            </w:r>
          </w:p>
        </w:tc>
        <w:tc>
          <w:tcPr/>
          <w:p>
            <w:pPr>
              <w:pStyle w:val="Compact"/>
              <w:jc w:val="left"/>
            </w:pPr>
            <w:r>
              <w:t xml:space="preserve">Plasma, excretion into urine</w:t>
            </w:r>
          </w:p>
        </w:tc>
        <w:tc>
          <w:tcPr/>
          <w:p>
            <w:pPr>
              <w:pStyle w:val="Compact"/>
              <w:jc w:val="left"/>
            </w:pPr>
            <w:r>
              <w:t xml:space="preserve">x</w:t>
            </w:r>
          </w:p>
        </w:tc>
        <w:tc>
          <w:tcPr/>
          <w:p>
            <w:pPr>
              <w:pStyle w:val="Compact"/>
              <w:jc w:val="left"/>
            </w:pPr>
            <w:hyperlink w:anchor="Xa559bd5247f9128e74e6edcc17de37648e8cde6">
              <w:r>
                <w:rPr>
                  <w:rStyle w:val="Hyperlink"/>
                </w:rPr>
                <w:t xml:space="preserve">Nitti 1977</w:t>
              </w:r>
            </w:hyperlink>
          </w:p>
        </w:tc>
      </w:tr>
      <w:tr>
        <w:tc>
          <w:tcPr/>
          <w:p>
            <w:pPr>
              <w:pStyle w:val="Compact"/>
            </w:pPr>
          </w:p>
        </w:tc>
        <w:tc>
          <w:tcPr/>
          <w:p>
            <w:pPr>
              <w:pStyle w:val="Compact"/>
              <w:jc w:val="left"/>
            </w:pPr>
            <w:r>
              <w:t xml:space="preserve">600</w:t>
            </w:r>
          </w:p>
        </w:tc>
        <w:tc>
          <w:tcPr/>
          <w:p>
            <w:pPr>
              <w:pStyle w:val="Compact"/>
              <w:jc w:val="left"/>
            </w:pPr>
            <w:r>
              <w:t xml:space="preserve">SD, 30 min infusion</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Sanofi-Aventis U.S. LLC. 2013</w:t>
              </w:r>
            </w:hyperlink>
          </w:p>
        </w:tc>
      </w:tr>
      <w:tr>
        <w:tc>
          <w:tcPr/>
          <w:p>
            <w:pPr>
              <w:pStyle w:val="Compact"/>
            </w:pPr>
          </w:p>
        </w:tc>
        <w:tc>
          <w:tcPr/>
          <w:p>
            <w:pPr>
              <w:pStyle w:val="Compact"/>
            </w:pPr>
          </w:p>
        </w:tc>
        <w:tc>
          <w:tcPr/>
          <w:p>
            <w:pPr>
              <w:pStyle w:val="Compact"/>
              <w:jc w:val="left"/>
            </w:pPr>
            <w:r>
              <w:t xml:space="preserve">SD, 3 h infusion</w:t>
            </w:r>
          </w:p>
        </w:tc>
        <w:tc>
          <w:tcPr/>
          <w:p>
            <w:pPr>
              <w:pStyle w:val="Compact"/>
              <w:jc w:val="left"/>
            </w:pPr>
            <w:r>
              <w:t xml:space="preserve">Plasma, excretion into urine</w:t>
            </w:r>
          </w:p>
        </w:tc>
        <w:tc>
          <w:tcPr/>
          <w:p>
            <w:pPr>
              <w:pStyle w:val="Compact"/>
              <w:jc w:val="left"/>
            </w:pPr>
            <w:r>
              <w:t xml:space="preserve">x</w:t>
            </w:r>
          </w:p>
        </w:tc>
        <w:tc>
          <w:tcPr/>
          <w:p>
            <w:pPr>
              <w:pStyle w:val="Compact"/>
              <w:jc w:val="left"/>
            </w:pPr>
            <w:hyperlink w:anchor="Xa559bd5247f9128e74e6edcc17de37648e8cde6">
              <w:r>
                <w:rPr>
                  <w:rStyle w:val="Hyperlink"/>
                </w:rPr>
                <w:t xml:space="preserve">Nitti 1977</w:t>
              </w:r>
            </w:hyperlink>
          </w:p>
        </w:tc>
      </w:tr>
      <w:tr>
        <w:tc>
          <w:tcPr/>
          <w:p>
            <w:pPr>
              <w:pStyle w:val="Compact"/>
            </w:pPr>
          </w:p>
        </w:tc>
        <w:tc>
          <w:tcPr/>
          <w:p>
            <w:pPr>
              <w:pStyle w:val="Compact"/>
            </w:pPr>
          </w:p>
        </w:tc>
        <w:tc>
          <w:tcPr/>
          <w:p>
            <w:pPr>
              <w:pStyle w:val="Compact"/>
              <w:jc w:val="left"/>
            </w:pPr>
            <w:r>
              <w:t xml:space="preserve">SD, 3 h infusion</w:t>
            </w:r>
          </w:p>
        </w:tc>
        <w:tc>
          <w:tcPr/>
          <w:p>
            <w:pPr>
              <w:pStyle w:val="Compact"/>
              <w:jc w:val="left"/>
            </w:pPr>
            <w:r>
              <w:t xml:space="preserve">Plasma, excretion into urine</w:t>
            </w:r>
          </w:p>
        </w:tc>
        <w:tc>
          <w:tcPr/>
          <w:p>
            <w:pPr>
              <w:pStyle w:val="Compact"/>
              <w:jc w:val="left"/>
            </w:pPr>
            <w:r>
              <w:t xml:space="preserve">x</w:t>
            </w:r>
          </w:p>
        </w:tc>
        <w:tc>
          <w:tcPr/>
          <w:p>
            <w:pPr>
              <w:pStyle w:val="Compact"/>
              <w:jc w:val="left"/>
            </w:pPr>
            <w:hyperlink w:anchor="Xa559bd5247f9128e74e6edcc17de37648e8cde6">
              <w:r>
                <w:rPr>
                  <w:rStyle w:val="Hyperlink"/>
                </w:rPr>
                <w:t xml:space="preserve">Acocella 1977</w:t>
              </w:r>
            </w:hyperlink>
          </w:p>
        </w:tc>
      </w:tr>
      <w:tr>
        <w:tc>
          <w:tcPr/>
          <w:p>
            <w:pPr>
              <w:pStyle w:val="Compact"/>
            </w:pPr>
          </w:p>
        </w:tc>
        <w:tc>
          <w:tcPr/>
          <w:p>
            <w:pPr>
              <w:pStyle w:val="Compact"/>
            </w:pPr>
          </w:p>
        </w:tc>
        <w:tc>
          <w:tcPr/>
          <w:p>
            <w:pPr>
              <w:pStyle w:val="Compact"/>
              <w:jc w:val="left"/>
            </w:pPr>
            <w:r>
              <w:t xml:space="preserve">OD (7 days), 3 h infusion</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Acocella 1977</w:t>
              </w:r>
            </w:hyperlink>
          </w:p>
        </w:tc>
      </w:tr>
      <w:tr>
        <w:tc>
          <w:tcPr/>
          <w:p>
            <w:pPr>
              <w:pStyle w:val="Compact"/>
              <w:jc w:val="left"/>
            </w:pPr>
            <w:r>
              <w:t xml:space="preserve">po</w:t>
            </w:r>
          </w:p>
        </w:tc>
        <w:tc>
          <w:tcPr/>
          <w:p>
            <w:pPr>
              <w:pStyle w:val="Compact"/>
              <w:jc w:val="left"/>
            </w:pPr>
            <w:r>
              <w:t xml:space="preserve">300</w:t>
            </w:r>
          </w:p>
        </w:tc>
        <w:tc>
          <w:tcPr/>
          <w:p>
            <w:pPr>
              <w:pStyle w:val="Compact"/>
              <w:jc w:val="left"/>
            </w:pPr>
            <w:r>
              <w:t xml:space="preserve">SD</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Chouchane 1995</w:t>
              </w:r>
            </w:hyperlink>
          </w:p>
        </w:tc>
      </w:tr>
      <w:tr>
        <w:tc>
          <w:tcPr/>
          <w:p>
            <w:pPr>
              <w:pStyle w:val="Compact"/>
            </w:pPr>
          </w:p>
        </w:tc>
        <w:tc>
          <w:tcPr/>
          <w:p>
            <w:pPr>
              <w:pStyle w:val="Compact"/>
            </w:pPr>
          </w:p>
        </w:tc>
        <w:tc>
          <w:tcPr/>
          <w:p>
            <w:pPr>
              <w:pStyle w:val="Compact"/>
              <w:jc w:val="left"/>
            </w:pPr>
            <w:r>
              <w:t xml:space="preserve">SD</w:t>
            </w:r>
          </w:p>
        </w:tc>
        <w:tc>
          <w:tcPr/>
          <w:p>
            <w:pPr>
              <w:pStyle w:val="Compact"/>
              <w:jc w:val="left"/>
            </w:pPr>
            <w:r>
              <w:t xml:space="preserve">Plasma</w:t>
            </w:r>
          </w:p>
        </w:tc>
        <w:tc>
          <w:tcPr/>
          <w:p>
            <w:pPr>
              <w:pStyle w:val="Compact"/>
            </w:pPr>
          </w:p>
        </w:tc>
        <w:tc>
          <w:tcPr/>
          <w:p>
            <w:pPr>
              <w:pStyle w:val="Compact"/>
              <w:jc w:val="left"/>
            </w:pPr>
            <w:hyperlink w:anchor="Xa559bd5247f9128e74e6edcc17de37648e8cde6">
              <w:r>
                <w:rPr>
                  <w:rStyle w:val="Hyperlink"/>
                </w:rPr>
                <w:t xml:space="preserve">Furesz 1970</w:t>
              </w:r>
            </w:hyperlink>
          </w:p>
        </w:tc>
      </w:tr>
      <w:tr>
        <w:tc>
          <w:tcPr/>
          <w:p>
            <w:pPr>
              <w:pStyle w:val="Compact"/>
            </w:pPr>
          </w:p>
        </w:tc>
        <w:tc>
          <w:tcPr/>
          <w:p>
            <w:pPr>
              <w:pStyle w:val="Compact"/>
              <w:jc w:val="left"/>
            </w:pPr>
            <w:r>
              <w:t xml:space="preserve">450</w:t>
            </w:r>
          </w:p>
        </w:tc>
        <w:tc>
          <w:tcPr/>
          <w:p>
            <w:pPr>
              <w:pStyle w:val="Compact"/>
              <w:jc w:val="left"/>
            </w:pPr>
            <w:r>
              <w:t xml:space="preserve">SD</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Blume 1989</w:t>
              </w:r>
            </w:hyperlink>
          </w:p>
        </w:tc>
      </w:tr>
      <w:tr>
        <w:tc>
          <w:tcPr/>
          <w:p>
            <w:pPr>
              <w:pStyle w:val="Compact"/>
            </w:pPr>
          </w:p>
        </w:tc>
        <w:tc>
          <w:tcPr/>
          <w:p>
            <w:pPr>
              <w:pStyle w:val="Compact"/>
            </w:pPr>
          </w:p>
        </w:tc>
        <w:tc>
          <w:tcPr/>
          <w:p>
            <w:pPr>
              <w:pStyle w:val="Compact"/>
            </w:pPr>
          </w:p>
        </w:tc>
        <w:tc>
          <w:tcPr/>
          <w:p>
            <w:pPr>
              <w:pStyle w:val="Compact"/>
              <w:jc w:val="left"/>
            </w:pPr>
            <w:r>
              <w:t xml:space="preserve">Plasma</w:t>
            </w:r>
          </w:p>
        </w:tc>
        <w:tc>
          <w:tcPr/>
          <w:p>
            <w:pPr>
              <w:pStyle w:val="Compact"/>
            </w:pPr>
          </w:p>
        </w:tc>
        <w:tc>
          <w:tcPr/>
          <w:p>
            <w:pPr>
              <w:pStyle w:val="Compact"/>
              <w:jc w:val="left"/>
            </w:pPr>
            <w:hyperlink w:anchor="Xa559bd5247f9128e74e6edcc17de37648e8cde6">
              <w:r>
                <w:rPr>
                  <w:rStyle w:val="Hyperlink"/>
                </w:rPr>
                <w:t xml:space="preserve">Furesz 1970</w:t>
              </w:r>
            </w:hyperlink>
          </w:p>
        </w:tc>
      </w:tr>
      <w:tr>
        <w:tc>
          <w:tcPr/>
          <w:p>
            <w:pPr>
              <w:pStyle w:val="Compact"/>
            </w:pPr>
          </w:p>
        </w:tc>
        <w:tc>
          <w:tcPr/>
          <w:p>
            <w:pPr>
              <w:pStyle w:val="Compact"/>
            </w:pPr>
          </w:p>
        </w:tc>
        <w:tc>
          <w:tcPr/>
          <w:p>
            <w:pPr>
              <w:pStyle w:val="Compact"/>
              <w:jc w:val="left"/>
            </w:pPr>
            <w:r>
              <w:t xml:space="preserve">MD</w:t>
            </w:r>
          </w:p>
        </w:tc>
        <w:tc>
          <w:tcPr/>
          <w:p>
            <w:pPr>
              <w:pStyle w:val="Compact"/>
              <w:jc w:val="left"/>
            </w:pPr>
            <w:r>
              <w:t xml:space="preserve">Plasma, excretion into urine and bile</w:t>
            </w:r>
          </w:p>
        </w:tc>
        <w:tc>
          <w:tcPr/>
          <w:p>
            <w:pPr>
              <w:pStyle w:val="Compact"/>
              <w:jc w:val="left"/>
            </w:pPr>
            <w:r>
              <w:t xml:space="preserve">x</w:t>
            </w:r>
          </w:p>
        </w:tc>
        <w:tc>
          <w:tcPr/>
          <w:p>
            <w:pPr>
              <w:pStyle w:val="Compact"/>
              <w:jc w:val="left"/>
            </w:pPr>
            <w:hyperlink w:anchor="Xa559bd5247f9128e74e6edcc17de37648e8cde6">
              <w:r>
                <w:rPr>
                  <w:rStyle w:val="Hyperlink"/>
                </w:rPr>
                <w:t xml:space="preserve">Acocella 1972a</w:t>
              </w:r>
            </w:hyperlink>
          </w:p>
        </w:tc>
      </w:tr>
      <w:tr>
        <w:tc>
          <w:tcPr/>
          <w:p>
            <w:pPr>
              <w:pStyle w:val="Compact"/>
            </w:pPr>
          </w:p>
        </w:tc>
        <w:tc>
          <w:tcPr/>
          <w:p>
            <w:pPr>
              <w:pStyle w:val="Compact"/>
              <w:jc w:val="left"/>
            </w:pPr>
            <w:r>
              <w:t xml:space="preserve">600</w:t>
            </w:r>
          </w:p>
        </w:tc>
        <w:tc>
          <w:tcPr/>
          <w:p>
            <w:pPr>
              <w:pStyle w:val="Compact"/>
              <w:jc w:val="left"/>
            </w:pPr>
            <w:r>
              <w:t xml:space="preserve">SD</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Peloquin 1997</w:t>
              </w:r>
            </w:hyperlink>
          </w:p>
        </w:tc>
      </w:tr>
      <w:tr>
        <w:tc>
          <w:tcPr/>
          <w:p>
            <w:pPr>
              <w:pStyle w:val="Compact"/>
            </w:pPr>
          </w:p>
        </w:tc>
        <w:tc>
          <w:tcPr/>
          <w:p>
            <w:pPr>
              <w:pStyle w:val="Compact"/>
            </w:pPr>
          </w:p>
        </w:tc>
        <w:tc>
          <w:tcPr/>
          <w:p>
            <w:pPr>
              <w:pStyle w:val="Compact"/>
            </w:pPr>
          </w:p>
        </w:tc>
        <w:tc>
          <w:tcPr/>
          <w:p>
            <w:pPr>
              <w:pStyle w:val="Compact"/>
              <w:jc w:val="left"/>
            </w:pPr>
            <w:r>
              <w:t xml:space="preserve">Plasma</w:t>
            </w:r>
          </w:p>
        </w:tc>
        <w:tc>
          <w:tcPr/>
          <w:p>
            <w:pPr>
              <w:pStyle w:val="Compact"/>
            </w:pPr>
          </w:p>
        </w:tc>
        <w:tc>
          <w:tcPr/>
          <w:p>
            <w:pPr>
              <w:pStyle w:val="Compact"/>
              <w:jc w:val="left"/>
            </w:pPr>
            <w:hyperlink w:anchor="Xa559bd5247f9128e74e6edcc17de37648e8cde6">
              <w:r>
                <w:rPr>
                  <w:rStyle w:val="Hyperlink"/>
                </w:rPr>
                <w:t xml:space="preserve">Blume 1989</w:t>
              </w:r>
            </w:hyperlink>
          </w:p>
        </w:tc>
      </w:tr>
      <w:tr>
        <w:tc>
          <w:tcPr/>
          <w:p>
            <w:pPr>
              <w:pStyle w:val="Compact"/>
            </w:pPr>
          </w:p>
        </w:tc>
        <w:tc>
          <w:tcPr/>
          <w:p>
            <w:pPr>
              <w:pStyle w:val="Compact"/>
            </w:pPr>
          </w:p>
        </w:tc>
        <w:tc>
          <w:tcPr/>
          <w:p>
            <w:pPr>
              <w:pStyle w:val="Compact"/>
            </w:pPr>
          </w:p>
        </w:tc>
        <w:tc>
          <w:tcPr/>
          <w:p>
            <w:pPr>
              <w:pStyle w:val="Compact"/>
              <w:jc w:val="left"/>
            </w:pPr>
            <w:r>
              <w:t xml:space="preserve">Plasma</w:t>
            </w:r>
          </w:p>
        </w:tc>
        <w:tc>
          <w:tcPr/>
          <w:p>
            <w:pPr>
              <w:pStyle w:val="Compact"/>
            </w:pPr>
          </w:p>
        </w:tc>
        <w:tc>
          <w:tcPr/>
          <w:p>
            <w:pPr>
              <w:pStyle w:val="Compact"/>
              <w:jc w:val="left"/>
            </w:pPr>
            <w:hyperlink w:anchor="Xa559bd5247f9128e74e6edcc17de37648e8cde6">
              <w:r>
                <w:rPr>
                  <w:rStyle w:val="Hyperlink"/>
                </w:rPr>
                <w:t xml:space="preserve">Acocella 1972b</w:t>
              </w:r>
            </w:hyperlink>
          </w:p>
        </w:tc>
      </w:tr>
      <w:tr>
        <w:tc>
          <w:tcPr/>
          <w:p>
            <w:pPr>
              <w:pStyle w:val="Compact"/>
            </w:pPr>
          </w:p>
        </w:tc>
        <w:tc>
          <w:tcPr/>
          <w:p>
            <w:pPr>
              <w:pStyle w:val="Compact"/>
            </w:pPr>
          </w:p>
        </w:tc>
        <w:tc>
          <w:tcPr/>
          <w:p>
            <w:pPr>
              <w:pStyle w:val="Compact"/>
            </w:pPr>
          </w:p>
        </w:tc>
        <w:tc>
          <w:tcPr/>
          <w:p>
            <w:pPr>
              <w:pStyle w:val="Compact"/>
              <w:jc w:val="left"/>
            </w:pPr>
            <w:r>
              <w:t xml:space="preserve">Plasma</w:t>
            </w:r>
          </w:p>
        </w:tc>
        <w:tc>
          <w:tcPr/>
          <w:p>
            <w:pPr>
              <w:pStyle w:val="Compact"/>
            </w:pPr>
          </w:p>
        </w:tc>
        <w:tc>
          <w:tcPr/>
          <w:p>
            <w:pPr>
              <w:pStyle w:val="Compact"/>
              <w:jc w:val="left"/>
            </w:pPr>
            <w:hyperlink w:anchor="Xa559bd5247f9128e74e6edcc17de37648e8cde6">
              <w:r>
                <w:rPr>
                  <w:rStyle w:val="Hyperlink"/>
                </w:rPr>
                <w:t xml:space="preserve">Furesz 1970</w:t>
              </w:r>
            </w:hyperlink>
          </w:p>
        </w:tc>
      </w:tr>
      <w:tr>
        <w:tc>
          <w:tcPr/>
          <w:p>
            <w:pPr>
              <w:pStyle w:val="Compact"/>
            </w:pPr>
          </w:p>
        </w:tc>
        <w:tc>
          <w:tcPr/>
          <w:p>
            <w:pPr>
              <w:pStyle w:val="Compact"/>
            </w:pPr>
          </w:p>
        </w:tc>
        <w:tc>
          <w:tcPr/>
          <w:p>
            <w:pPr>
              <w:pStyle w:val="Compact"/>
            </w:pPr>
          </w:p>
        </w:tc>
        <w:tc>
          <w:tcPr/>
          <w:p>
            <w:pPr>
              <w:pStyle w:val="Compact"/>
              <w:jc w:val="left"/>
            </w:pPr>
            <w:r>
              <w:t xml:space="preserve">Plasma, excretion into urine</w:t>
            </w:r>
          </w:p>
        </w:tc>
        <w:tc>
          <w:tcPr/>
          <w:p>
            <w:pPr>
              <w:pStyle w:val="Compact"/>
              <w:jc w:val="left"/>
            </w:pPr>
            <w:r>
              <w:t xml:space="preserve">x</w:t>
            </w:r>
          </w:p>
        </w:tc>
        <w:tc>
          <w:tcPr/>
          <w:p>
            <w:pPr>
              <w:pStyle w:val="Compact"/>
              <w:jc w:val="left"/>
            </w:pPr>
            <w:hyperlink w:anchor="Xa559bd5247f9128e74e6edcc17de37648e8cde6">
              <w:r>
                <w:rPr>
                  <w:rStyle w:val="Hyperlink"/>
                </w:rPr>
                <w:t xml:space="preserve">Eon Labs Manufacturing, Inc. 1997</w:t>
              </w:r>
            </w:hyperlink>
          </w:p>
        </w:tc>
      </w:tr>
      <w:tr>
        <w:tc>
          <w:tcPr/>
          <w:p>
            <w:pPr>
              <w:pStyle w:val="Compact"/>
            </w:pPr>
          </w:p>
        </w:tc>
        <w:tc>
          <w:tcPr/>
          <w:p>
            <w:pPr>
              <w:pStyle w:val="Compact"/>
            </w:pPr>
          </w:p>
        </w:tc>
        <w:tc>
          <w:tcPr/>
          <w:p>
            <w:pPr>
              <w:pStyle w:val="Compact"/>
              <w:jc w:val="left"/>
            </w:pPr>
            <w:r>
              <w:t xml:space="preserve">OD (7 days)</w:t>
            </w:r>
          </w:p>
        </w:tc>
        <w:tc>
          <w:tcPr/>
          <w:p>
            <w:pPr>
              <w:pStyle w:val="Compact"/>
              <w:jc w:val="left"/>
            </w:pPr>
            <w:r>
              <w:t xml:space="preserve">Plasma</w:t>
            </w:r>
          </w:p>
        </w:tc>
        <w:tc>
          <w:tcPr/>
          <w:p>
            <w:pPr>
              <w:pStyle w:val="Compact"/>
              <w:jc w:val="left"/>
            </w:pPr>
            <w:r>
              <w:t xml:space="preserve">x</w:t>
            </w:r>
          </w:p>
        </w:tc>
        <w:tc>
          <w:tcPr/>
          <w:p>
            <w:pPr>
              <w:pStyle w:val="Compact"/>
              <w:jc w:val="left"/>
            </w:pPr>
            <w:hyperlink w:anchor="Xa559bd5247f9128e74e6edcc17de37648e8cde6">
              <w:r>
                <w:rPr>
                  <w:rStyle w:val="Hyperlink"/>
                </w:rPr>
                <w:t xml:space="preserve">Baneyx 2014</w:t>
              </w:r>
            </w:hyperlink>
          </w:p>
        </w:tc>
      </w:tr>
    </w:tbl>
    <w:bookmarkEnd w:id="23"/>
    <w:bookmarkEnd w:id="24"/>
    <w:bookmarkStart w:id="46" w:name="model-parameters-and-assumptions"/>
    <w:p>
      <w:pPr>
        <w:pStyle w:val="Heading2"/>
      </w:pPr>
      <w:r>
        <w:t xml:space="preserve">Model Parameters and Assumptions</w:t>
      </w:r>
      <w:bookmarkStart w:id="model-parameters-and-assumptions" w:name="model-parameters-and-assumptions"/>
      <w:bookmarkEnd w:id="model-parameters-and-assumptions"/>
    </w:p>
    <w:bookmarkStart w:id="25" w:name="absorption"/>
    <w:p>
      <w:pPr>
        <w:pStyle w:val="Heading3"/>
      </w:pPr>
      <w:r>
        <w:t xml:space="preserve">2.3.1 Absorption</w:t>
      </w:r>
    </w:p>
    <w:p>
      <w:pPr>
        <w:pStyle w:val="FirstParagraph"/>
      </w:pPr>
      <w:r>
        <w:t xml:space="preserve">Herein, the model parameter</w:t>
      </w:r>
      <w:r>
        <w:t xml:space="preserve"> </w:t>
      </w:r>
      <w:r>
        <w:rPr>
          <w:rStyle w:val="VerbatimChar"/>
        </w:rPr>
        <w:t xml:space="preserve">Specific intestinal permeability</w:t>
      </w:r>
      <w:r>
        <w:t xml:space="preserve"> </w:t>
      </w:r>
      <w:r>
        <w:t xml:space="preserve">was optimized to best match clinical data (see</w:t>
      </w:r>
      <w:r>
        <w:t xml:space="preserve"> </w:t>
      </w:r>
      <w:hyperlink w:anchor="X05e2fd9d2318e5c56a9c57cdc7e48acff331d27">
        <w:r>
          <w:rPr>
            <w:rStyle w:val="Hyperlink"/>
          </w:rPr>
          <w:t xml:space="preserve">Section 2.3.5</w:t>
        </w:r>
      </w:hyperlink>
      <w:r>
        <w:t xml:space="preserve">). The results of the optimization can be found in</w:t>
      </w:r>
      <w:r>
        <w:t xml:space="preserve"> </w:t>
      </w:r>
      <w:hyperlink w:anchor="X05e2fd9d2318e5c56a9c57cdc7e48acff331d27">
        <w:r>
          <w:rPr>
            <w:rStyle w:val="Hyperlink"/>
          </w:rPr>
          <w:t xml:space="preserve">Section 2.3.5</w:t>
        </w:r>
      </w:hyperlink>
      <w:r>
        <w:t xml:space="preserve">.</w:t>
      </w:r>
    </w:p>
    <w:p>
      <w:pPr>
        <w:pStyle w:val="BodyText"/>
      </w:pPr>
      <w:r>
        <w:t xml:space="preserve">Measured aqueous solubility (</w:t>
      </w:r>
      <w:hyperlink w:anchor="Xa559bd5247f9128e74e6edcc17de37648e8cde6">
        <w:r>
          <w:rPr>
            <w:rStyle w:val="Hyperlink"/>
          </w:rPr>
          <w:t xml:space="preserve">Boman 1974</w:t>
        </w:r>
      </w:hyperlink>
      <w:r>
        <w:t xml:space="preserve">, see</w:t>
      </w:r>
      <w:r>
        <w:t xml:space="preserve"> </w:t>
      </w:r>
      <w:hyperlink w:anchor="X873f1d933aeea7d4aa146491e21cc3be56dfc99">
        <w:r>
          <w:rPr>
            <w:rStyle w:val="Hyperlink"/>
          </w:rPr>
          <w:t xml:space="preserve">Section 2.2.1</w:t>
        </w:r>
      </w:hyperlink>
      <w:r>
        <w:t xml:space="preserve">) was set as default solubility.</w:t>
      </w:r>
    </w:p>
    <w:p>
      <w:pPr>
        <w:pStyle w:val="BodyText"/>
      </w:pPr>
      <w:r>
        <w:t xml:space="preserve">As observed data do not show substantial differences between different formulations for oral rifampicin administration, all oral administrations were modelled as an oral solution.</w:t>
      </w:r>
    </w:p>
    <w:bookmarkEnd w:id="25"/>
    <w:bookmarkStart w:id="26" w:name="distribution"/>
    <w:p>
      <w:pPr>
        <w:pStyle w:val="Heading3"/>
      </w:pPr>
      <w:r>
        <w:t xml:space="preserve">2.3.2 Distribution</w:t>
      </w:r>
    </w:p>
    <w:p>
      <w:pPr>
        <w:pStyle w:val="FirstParagraph"/>
      </w:pPr>
      <w:r>
        <w:t xml:space="preserve">Recent measurements of fraction unbound in plasma yielded values of approximately 17% (</w:t>
      </w:r>
      <w:hyperlink w:anchor="Xa559bd5247f9128e74e6edcc17de37648e8cde6">
        <w:r>
          <w:rPr>
            <w:rStyle w:val="Hyperlink"/>
          </w:rPr>
          <w:t xml:space="preserve">Templeton 2011</w:t>
        </w:r>
      </w:hyperlink>
      <w:r>
        <w:t xml:space="preserve">,</w:t>
      </w:r>
      <w:r>
        <w:t xml:space="preserve"> </w:t>
      </w:r>
      <w:hyperlink w:anchor="Xa559bd5247f9128e74e6edcc17de37648e8cde6">
        <w:r>
          <w:rPr>
            <w:rStyle w:val="Hyperlink"/>
          </w:rPr>
          <w:t xml:space="preserve">Shou 2008</w:t>
        </w:r>
      </w:hyperlink>
      <w:r>
        <w:t xml:space="preserve">, see</w:t>
      </w:r>
      <w:r>
        <w:t xml:space="preserve"> </w:t>
      </w:r>
      <w:hyperlink w:anchor="X873f1d933aeea7d4aa146491e21cc3be56dfc99">
        <w:r>
          <w:rPr>
            <w:rStyle w:val="Hyperlink"/>
          </w:rPr>
          <w:t xml:space="preserve">Section 2.2.1</w:t>
        </w:r>
      </w:hyperlink>
      <w:r>
        <w:t xml:space="preserve">). This value was implemented in this model.</w:t>
      </w:r>
    </w:p>
    <w:p>
      <w:pPr>
        <w:pStyle w:val="BodyText"/>
      </w:pPr>
      <w:r>
        <w:rPr>
          <w:rStyle w:val="VerbatimChar"/>
        </w:rPr>
        <w:t xml:space="preserve">Lipophilicity</w:t>
      </w:r>
      <w:r>
        <w:t xml:space="preserve"> </w:t>
      </w:r>
      <w:r>
        <w:t xml:space="preserve">was optimized within the range of measured values to find a best match of simulated to observed rifampicin PK profile data.</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Rodgers and Rowland</w:t>
      </w:r>
      <w:r>
        <w:t xml:space="preserve"> </w:t>
      </w:r>
      <w:r>
        <w:t xml:space="preserve">and cellular permeability calculation by</w:t>
      </w:r>
      <w:r>
        <w:t xml:space="preserve"> </w:t>
      </w:r>
      <w:r>
        <w:rPr>
          <w:rStyle w:val="VerbatimChar"/>
        </w:rPr>
        <w:t xml:space="preserve">PK-Sim Standard</w:t>
      </w:r>
      <w:r>
        <w:t xml:space="preserve"> </w:t>
      </w:r>
      <w:r>
        <w:t xml:space="preserve">for rifampicin. The PK-Sim® calculated</w:t>
      </w:r>
      <w:r>
        <w:t xml:space="preserve"> </w:t>
      </w:r>
      <w:r>
        <w:rPr>
          <w:rStyle w:val="VerbatimChar"/>
        </w:rPr>
        <w:t xml:space="preserve">Blood/plasma concentration ratio</w:t>
      </w:r>
      <w:r>
        <w:t xml:space="preserve"> </w:t>
      </w:r>
      <w:r>
        <w:t xml:space="preserve">is well in line with the observed value of 0.9 (</w:t>
      </w:r>
      <w:hyperlink w:anchor="Xa559bd5247f9128e74e6edcc17de37648e8cde6">
        <w:r>
          <w:rPr>
            <w:rStyle w:val="Hyperlink"/>
          </w:rPr>
          <w:t xml:space="preserve">Loos 1985</w:t>
        </w:r>
      </w:hyperlink>
      <w:r>
        <w:t xml:space="preserve">).</w:t>
      </w:r>
    </w:p>
    <w:bookmarkEnd w:id="26"/>
    <w:bookmarkStart w:id="31" w:name="metabolism-and-elimination"/>
    <w:p>
      <w:pPr>
        <w:pStyle w:val="Heading3"/>
      </w:pPr>
      <w:r>
        <w:t xml:space="preserve">2.3.3 Metabolism and Elimination</w:t>
      </w:r>
    </w:p>
    <w:p>
      <w:pPr>
        <w:pStyle w:val="FirstParagraph"/>
      </w:pPr>
      <w:r>
        <w:t xml:space="preserve">Integrating and testing active processes that were considered vital to the PK of rifampicin after literature review resulted in a final model that applies transport by OATP1B1 (</w:t>
      </w:r>
      <w:hyperlink w:anchor="Xa559bd5247f9128e74e6edcc17de37648e8cde6">
        <w:r>
          <w:rPr>
            <w:rStyle w:val="Hyperlink"/>
          </w:rPr>
          <w:t xml:space="preserve">Tirona 2003</w:t>
        </w:r>
      </w:hyperlink>
      <w:r>
        <w:t xml:space="preserve">), metabolism by arylacetamide deacetylase (AADAC) (</w:t>
      </w:r>
      <w:hyperlink w:anchor="Xa559bd5247f9128e74e6edcc17de37648e8cde6">
        <w:r>
          <w:rPr>
            <w:rStyle w:val="Hyperlink"/>
          </w:rPr>
          <w:t xml:space="preserve">Nakajima 2011</w:t>
        </w:r>
      </w:hyperlink>
      <w:r>
        <w:t xml:space="preserve">), transport by P-gp (</w:t>
      </w:r>
      <w:hyperlink w:anchor="Xa559bd5247f9128e74e6edcc17de37648e8cde6">
        <w:r>
          <w:rPr>
            <w:rStyle w:val="Hyperlink"/>
          </w:rPr>
          <w:t xml:space="preserve">Collett 2004</w:t>
        </w:r>
      </w:hyperlink>
      <w:r>
        <w:t xml:space="preserve">) and glomerular filtration. No study clearly demonstrated that rifampicin is substrate of CYP3A4; hence, in this PBPK model rifampicin only acts as a perpetrator on CYP3A4 without being metabolized by it.</w:t>
      </w:r>
    </w:p>
    <w:p>
      <w:pPr>
        <w:pStyle w:val="BodyText"/>
      </w:pPr>
      <w:r>
        <w:t xml:space="preserve">The implemented expression profile of AADAC, P-gp and OATP1B1 were based on high-sensitive real-time RT-PCR (</w:t>
      </w:r>
      <w:hyperlink w:anchor="Xa559bd5247f9128e74e6edcc17de37648e8cde6">
        <w:r>
          <w:rPr>
            <w:rStyle w:val="Hyperlink"/>
          </w:rPr>
          <w:t xml:space="preserve">Nishimura 2003</w:t>
        </w:r>
      </w:hyperlink>
      <w:r>
        <w:t xml:space="preserve">) of the PK-Sim® expression database. The relative expression in the mucosa of the gut wall was modified based on an optimized value as reported by Hanke</w:t>
      </w:r>
      <w:r>
        <w:t xml:space="preserve"> </w:t>
      </w:r>
      <w:r>
        <w:rPr>
          <w:iCs/>
          <w:i/>
        </w:rPr>
        <w:t xml:space="preserve">et al.</w:t>
      </w:r>
      <w:r>
        <w:t xml:space="preserve"> </w:t>
      </w:r>
      <w:r>
        <w:t xml:space="preserve">(</w:t>
      </w:r>
      <w:hyperlink w:anchor="Xa559bd5247f9128e74e6edcc17de37648e8cde6">
        <w:r>
          <w:rPr>
            <w:rStyle w:val="Hyperlink"/>
          </w:rPr>
          <w:t xml:space="preserve">Hanke 2018</w:t>
        </w:r>
      </w:hyperlink>
      <w:r>
        <w:t xml:space="preserve">). Herein, this value was increased by a factor of 3.57 based on digoxin PK data in combination with PBPK modeling.</w:t>
      </w:r>
    </w:p>
    <w:p>
      <w:pPr>
        <w:pStyle w:val="BodyText"/>
      </w:pPr>
      <w:r>
        <w:t xml:space="preserve">It was assumed that the mRNA concentration is proportional to the respective protein concentration. Thus, the expression of a protein in a specific organ relates to the expression in the organ with the highest expression which is termed reference concentration of the protein (</w:t>
      </w:r>
      <w:hyperlink w:anchor="Xa559bd5247f9128e74e6edcc17de37648e8cde6">
        <w:r>
          <w:rPr>
            <w:rStyle w:val="Hyperlink"/>
          </w:rPr>
          <w:t xml:space="preserve">Meyer 2012</w:t>
        </w:r>
      </w:hyperlink>
      <w:r>
        <w:t xml:space="preserve">). OATP1B1 was configured as influx transporter and P-gp as efflux transporter. Reference concentrations of the implemented active processes (enzymes and transporters) are summarized below:</w:t>
      </w:r>
    </w:p>
    <w:tbl>
      <w:tblPr>
        <w:tblStyle w:val="Table"/>
        <w:tblW w:type="pct" w:w="5000"/>
        <w:tblLook w:firstRow="1" w:lastRow="0" w:firstColumn="0" w:lastColumn="0" w:noHBand="0" w:noVBand="0" w:val="0020"/>
        <w:jc w:val="start"/>
      </w:tblPr>
      <w:tblGrid>
        <w:gridCol w:w="840"/>
        <w:gridCol w:w="4440"/>
        <w:gridCol w:w="2640"/>
      </w:tblGrid>
      <w:tr>
        <w:trPr>
          <w:tblHeader w:val="true"/>
        </w:trPr>
        <w:tc>
          <w:tcPr/>
          <w:p>
            <w:pPr>
              <w:pStyle w:val="Compact"/>
              <w:jc w:val="left"/>
            </w:pPr>
            <w:r>
              <w:t xml:space="preserve">Protein</w:t>
            </w:r>
          </w:p>
        </w:tc>
        <w:tc>
          <w:tcPr/>
          <w:p>
            <w:pPr>
              <w:pStyle w:val="Compact"/>
              <w:jc w:val="left"/>
            </w:pPr>
            <w:r>
              <w:t xml:space="preserve">Reference concentration</w:t>
            </w:r>
            <w:r>
              <w:t xml:space="preserve">[µmol/L]</w:t>
            </w:r>
          </w:p>
        </w:tc>
        <w:tc>
          <w:tcPr/>
          <w:p>
            <w:pPr>
              <w:pStyle w:val="Compact"/>
              <w:jc w:val="left"/>
            </w:pPr>
            <w:r>
              <w:t xml:space="preserve">Reference Organ</w:t>
            </w:r>
          </w:p>
        </w:tc>
      </w:tr>
      <w:tr>
        <w:tc>
          <w:tcPr/>
          <w:p>
            <w:pPr>
              <w:pStyle w:val="Compact"/>
              <w:jc w:val="left"/>
            </w:pPr>
            <w:r>
              <w:t xml:space="preserve">AADAC</w:t>
            </w:r>
          </w:p>
        </w:tc>
        <w:tc>
          <w:tcPr/>
          <w:p>
            <w:pPr>
              <w:pStyle w:val="Compact"/>
              <w:jc w:val="left"/>
            </w:pPr>
            <w:r>
              <w:t xml:space="preserve">1.0 (assumed)</w:t>
            </w:r>
          </w:p>
        </w:tc>
        <w:tc>
          <w:tcPr/>
          <w:p>
            <w:pPr>
              <w:pStyle w:val="Compact"/>
              <w:jc w:val="left"/>
            </w:pPr>
            <w:r>
              <w:t xml:space="preserve">Liver</w:t>
            </w:r>
          </w:p>
        </w:tc>
      </w:tr>
      <w:tr>
        <w:tc>
          <w:tcPr/>
          <w:p>
            <w:pPr>
              <w:pStyle w:val="Compact"/>
              <w:jc w:val="left"/>
            </w:pPr>
            <w:r>
              <w:t xml:space="preserve">P-gp</w:t>
            </w:r>
          </w:p>
        </w:tc>
        <w:tc>
          <w:tcPr/>
          <w:p>
            <w:pPr>
              <w:pStyle w:val="Compact"/>
              <w:jc w:val="left"/>
            </w:pPr>
            <w:r>
              <w:t xml:space="preserve">1.41 (</w:t>
            </w:r>
            <w:hyperlink w:anchor="Xa559bd5247f9128e74e6edcc17de37648e8cde6">
              <w:r>
                <w:rPr>
                  <w:rStyle w:val="Hyperlink"/>
                </w:rPr>
                <w:t xml:space="preserve">Hanke 2018</w:t>
              </w:r>
            </w:hyperlink>
            <w:r>
              <w:t xml:space="preserve">)</w:t>
            </w:r>
          </w:p>
        </w:tc>
        <w:tc>
          <w:tcPr/>
          <w:p>
            <w:pPr>
              <w:pStyle w:val="Compact"/>
              <w:jc w:val="left"/>
            </w:pPr>
            <w:r>
              <w:t xml:space="preserve">Mucosa Small Intestine</w:t>
            </w:r>
          </w:p>
        </w:tc>
      </w:tr>
      <w:tr>
        <w:tc>
          <w:tcPr/>
          <w:p>
            <w:pPr>
              <w:pStyle w:val="Compact"/>
              <w:jc w:val="left"/>
            </w:pPr>
            <w:r>
              <w:t xml:space="preserve">OATP1B1</w:t>
            </w:r>
          </w:p>
        </w:tc>
        <w:tc>
          <w:tcPr/>
          <w:p>
            <w:pPr>
              <w:pStyle w:val="Compact"/>
              <w:jc w:val="left"/>
            </w:pPr>
            <w:r>
              <w:t xml:space="preserve">1.0 (assumed)</w:t>
            </w:r>
          </w:p>
        </w:tc>
        <w:tc>
          <w:tcPr/>
          <w:p>
            <w:pPr>
              <w:pStyle w:val="Compact"/>
              <w:jc w:val="left"/>
            </w:pPr>
            <w:r>
              <w:t xml:space="preserve">Liver</w:t>
            </w:r>
          </w:p>
        </w:tc>
      </w:tr>
    </w:tbl>
    <w:p>
      <w:pPr>
        <w:pStyle w:val="BodyText"/>
      </w:pPr>
      <w:r>
        <w:t xml:space="preserve">The kinetic parameters describing the rifampicin metabolism by AADAC and transport by P-gp and OATP1B1 were imputed in the model as follows: while Michaelis-Menten constants (K</w:t>
      </w:r>
      <w:r>
        <w:rPr>
          <w:vertAlign w:val="subscript"/>
        </w:rPr>
        <w:t xml:space="preserve">m</w:t>
      </w:r>
      <w:r>
        <w:t xml:space="preserve"> </w:t>
      </w:r>
      <w:r>
        <w:t xml:space="preserve">values) of AADAC-catalyzed metabolism and the two transport processes were taken from reported in vitro experiments, enzymatic and transport turnover values (k</w:t>
      </w:r>
      <w:r>
        <w:rPr>
          <w:vertAlign w:val="subscript"/>
        </w:rPr>
        <w:t xml:space="preserve">cat</w:t>
      </w:r>
      <w:r>
        <w:t xml:space="preserve">) were optimized based on</w:t>
      </w:r>
      <w:r>
        <w:t xml:space="preserve"> </w:t>
      </w:r>
      <w:r>
        <w:rPr>
          <w:iCs/>
          <w:i/>
        </w:rPr>
        <w:t xml:space="preserve">in vivo</w:t>
      </w:r>
      <w:r>
        <w:t xml:space="preserve"> </w:t>
      </w:r>
      <w:r>
        <w:t xml:space="preserve">PK data (see</w:t>
      </w:r>
      <w:r>
        <w:t xml:space="preserve"> </w:t>
      </w:r>
      <w:hyperlink w:anchor="X05e2fd9d2318e5c56a9c57cdc7e48acff331d27">
        <w:r>
          <w:rPr>
            <w:rStyle w:val="Hyperlink"/>
          </w:rPr>
          <w:t xml:space="preserve">Section 2.3.5</w:t>
        </w:r>
      </w:hyperlink>
      <w:r>
        <w:t xml:space="preserve">).</w:t>
      </w:r>
    </w:p>
    <w:p>
      <w:pPr>
        <w:pStyle w:val="BodyText"/>
      </w:pPr>
      <w:r>
        <w:t xml:space="preserve">Multiple dose studies that measured PK profiles of rifampicin at different days of a 600 mg po once daily regimen indicate that rifampicin exposure decreases over time due to auto-induction processes (</w:t>
      </w:r>
      <w:hyperlink w:anchor="Xa559bd5247f9128e74e6edcc17de37648e8cde6">
        <w:r>
          <w:rPr>
            <w:rStyle w:val="Hyperlink"/>
          </w:rPr>
          <w:t xml:space="preserve">Baneyx 2014</w:t>
        </w:r>
      </w:hyperlink>
      <w:r>
        <w:t xml:space="preserve">), (</w:t>
      </w:r>
      <w:hyperlink w:anchor="Xa559bd5247f9128e74e6edcc17de37648e8cde6">
        <w:r>
          <w:rPr>
            <w:rStyle w:val="Hyperlink"/>
          </w:rPr>
          <w:t xml:space="preserve">Smythe 2012</w:t>
        </w:r>
      </w:hyperlink>
      <w:r>
        <w:t xml:space="preserve">).</w:t>
      </w:r>
      <w:r>
        <w:t xml:space="preserve"> </w:t>
      </w:r>
      <w:r>
        <w:rPr>
          <w:iCs/>
          <w:i/>
        </w:rPr>
        <w:t xml:space="preserve">In-vitro</w:t>
      </w:r>
      <w:r>
        <w:t xml:space="preserve"> </w:t>
      </w:r>
      <w:r>
        <w:t xml:space="preserve">studies in human hepatocytes suggest that rifampicin induces P-gp (</w:t>
      </w:r>
      <w:hyperlink w:anchor="Xa559bd5247f9128e74e6edcc17de37648e8cde6">
        <w:r>
          <w:rPr>
            <w:rStyle w:val="Hyperlink"/>
          </w:rPr>
          <w:t xml:space="preserve">Collett 2004</w:t>
        </w:r>
      </w:hyperlink>
      <w:r>
        <w:t xml:space="preserve">,</w:t>
      </w:r>
      <w:r>
        <w:t xml:space="preserve"> </w:t>
      </w:r>
      <w:hyperlink w:anchor="Xa559bd5247f9128e74e6edcc17de37648e8cde6">
        <w:r>
          <w:rPr>
            <w:rStyle w:val="Hyperlink"/>
          </w:rPr>
          <w:t xml:space="preserve">Dixit 2007</w:t>
        </w:r>
      </w:hyperlink>
      <w:r>
        <w:t xml:space="preserve">,</w:t>
      </w:r>
      <w:r>
        <w:t xml:space="preserve"> </w:t>
      </w:r>
      <w:hyperlink w:anchor="Xa559bd5247f9128e74e6edcc17de37648e8cde6">
        <w:r>
          <w:rPr>
            <w:rStyle w:val="Hyperlink"/>
          </w:rPr>
          <w:t xml:space="preserve">Williamson 2013</w:t>
        </w:r>
      </w:hyperlink>
      <w:r>
        <w:t xml:space="preserve">) and OATP1B1 (</w:t>
      </w:r>
      <w:hyperlink w:anchor="Xa559bd5247f9128e74e6edcc17de37648e8cde6">
        <w:r>
          <w:rPr>
            <w:rStyle w:val="Hyperlink"/>
          </w:rPr>
          <w:t xml:space="preserve">Dixit 2007</w:t>
        </w:r>
      </w:hyperlink>
      <w:r>
        <w:t xml:space="preserve">,</w:t>
      </w:r>
      <w:r>
        <w:t xml:space="preserve"> </w:t>
      </w:r>
      <w:hyperlink w:anchor="Xa559bd5247f9128e74e6edcc17de37648e8cde6">
        <w:r>
          <w:rPr>
            <w:rStyle w:val="Hyperlink"/>
          </w:rPr>
          <w:t xml:space="preserve">Williamson 2013</w:t>
        </w:r>
      </w:hyperlink>
      <w:r>
        <w:t xml:space="preserve">). It has further been shown in DDI studies with prototypical substrates of these transporters (pravastatin and digoxin, respectively) that the induction of these transporters can also be observed</w:t>
      </w:r>
      <w:r>
        <w:t xml:space="preserve"> </w:t>
      </w:r>
      <w:r>
        <w:rPr>
          <w:iCs/>
          <w:i/>
        </w:rPr>
        <w:t xml:space="preserve">in vivo</w:t>
      </w:r>
      <w:r>
        <w:t xml:space="preserve"> </w:t>
      </w:r>
      <w:r>
        <w:t xml:space="preserve">(</w:t>
      </w:r>
      <w:hyperlink w:anchor="Xa559bd5247f9128e74e6edcc17de37648e8cde6">
        <w:r>
          <w:rPr>
            <w:rStyle w:val="Hyperlink"/>
          </w:rPr>
          <w:t xml:space="preserve">Kyrklund 2000</w:t>
        </w:r>
      </w:hyperlink>
      <w:r>
        <w:t xml:space="preserve">,</w:t>
      </w:r>
      <w:r>
        <w:t xml:space="preserve"> </w:t>
      </w:r>
      <w:hyperlink w:anchor="Xa559bd5247f9128e74e6edcc17de37648e8cde6">
        <w:r>
          <w:rPr>
            <w:rStyle w:val="Hyperlink"/>
          </w:rPr>
          <w:t xml:space="preserve">Greiner 1999</w:t>
        </w:r>
      </w:hyperlink>
      <w:r>
        <w:t xml:space="preserve">). As in the case of CYP3A4 induction, both induction processes are mediated via pregnane X receptor (PXR) (</w:t>
      </w:r>
      <w:hyperlink w:anchor="Xa559bd5247f9128e74e6edcc17de37648e8cde6">
        <w:r>
          <w:rPr>
            <w:rStyle w:val="Hyperlink"/>
          </w:rPr>
          <w:t xml:space="preserve">Geick 2001</w:t>
        </w:r>
      </w:hyperlink>
      <w:r>
        <w:t xml:space="preserve">). Furthermore, it has been demonstrated that B-esterases are inducible by rifampicin via PXR (</w:t>
      </w:r>
      <w:hyperlink w:anchor="Xa559bd5247f9128e74e6edcc17de37648e8cde6">
        <w:r>
          <w:rPr>
            <w:rStyle w:val="Hyperlink"/>
          </w:rPr>
          <w:t xml:space="preserve">Smythe 2012</w:t>
        </w:r>
      </w:hyperlink>
      <w:r>
        <w:t xml:space="preserve">,</w:t>
      </w:r>
      <w:r>
        <w:t xml:space="preserve"> </w:t>
      </w:r>
      <w:hyperlink w:anchor="Xa559bd5247f9128e74e6edcc17de37648e8cde6">
        <w:r>
          <w:rPr>
            <w:rStyle w:val="Hyperlink"/>
          </w:rPr>
          <w:t xml:space="preserve">Staudinger 2010</w:t>
        </w:r>
      </w:hyperlink>
      <w:r>
        <w:t xml:space="preserve">) and that AADAC, the enzyme catalyzing the main metabolic pathway of rifampicin, is regulated by PXR (</w:t>
      </w:r>
      <w:hyperlink w:anchor="Xa559bd5247f9128e74e6edcc17de37648e8cde6">
        <w:r>
          <w:rPr>
            <w:rStyle w:val="Hyperlink"/>
          </w:rPr>
          <w:t xml:space="preserve">Zhang 2012</w:t>
        </w:r>
      </w:hyperlink>
      <w:r>
        <w:t xml:space="preserve">). Therefore, (auto-)induction of P-gp, OATP1B1 and AADAC expression was assumed and implemented in the rifampicin model. Modelling induction of an endogenously expressed protein requires three parameters, in particular</w:t>
      </w:r>
      <w:r>
        <w:t xml:space="preserve"> </w:t>
      </w:r>
      <w:r>
        <w:rPr>
          <w:bCs/>
          <w:b/>
        </w:rPr>
        <w:t xml:space="preserve">EC</w:t>
      </w:r>
      <w:r>
        <w:rPr>
          <w:vertAlign w:val="subscript"/>
          <w:bCs/>
          <w:b/>
        </w:rPr>
        <w:t xml:space="preserve">50</w:t>
      </w:r>
      <w:r>
        <w:t xml:space="preserve"> </w:t>
      </w:r>
      <w:r>
        <w:t xml:space="preserve">(concentration at which induction is half maximum),</w:t>
      </w:r>
      <w:r>
        <w:t xml:space="preserve"> </w:t>
      </w:r>
      <w:r>
        <w:rPr>
          <w:bCs/>
          <w:b/>
        </w:rPr>
        <w:t xml:space="preserve">E</w:t>
      </w:r>
      <w:r>
        <w:rPr>
          <w:vertAlign w:val="subscript"/>
          <w:bCs/>
          <w:b/>
        </w:rPr>
        <w:t xml:space="preserve">max</w:t>
      </w:r>
      <w:r>
        <w:t xml:space="preserve"> </w:t>
      </w:r>
      <w:r>
        <w:t xml:space="preserve">(maximum induction effect on endogenous synthesis rate) and the endogenous</w:t>
      </w:r>
      <w:r>
        <w:t xml:space="preserve"> </w:t>
      </w:r>
      <w:r>
        <w:rPr>
          <w:bCs/>
          <w:b/>
        </w:rPr>
        <w:t xml:space="preserve">protein turnover (half-life)</w:t>
      </w:r>
      <w:r>
        <w:t xml:space="preserve">. Little is known about these values</w:t>
      </w:r>
      <w:r>
        <w:t xml:space="preserve"> </w:t>
      </w:r>
      <w:r>
        <w:rPr>
          <w:iCs/>
          <w:i/>
        </w:rPr>
        <w:t xml:space="preserve">in vivo</w:t>
      </w:r>
      <w:r>
        <w:t xml:space="preserve"> </w:t>
      </w:r>
      <w:r>
        <w:t xml:space="preserve">for AADAC, P-gp and OATP1B1 induction.</w:t>
      </w:r>
    </w:p>
    <w:bookmarkStart w:id="30" w:name="X53a7c5acf10bcedd7f1a0d9dae7b539c75fb1c7"/>
    <w:p>
      <w:pPr>
        <w:pStyle w:val="Heading4"/>
      </w:pPr>
      <w:r>
        <w:t xml:space="preserve">(Auto-) Induction Processes: AADAC, P-gp and OATP1B1</w:t>
      </w:r>
    </w:p>
    <w:bookmarkStart w:id="27" w:name="ec50"/>
    <w:p>
      <w:pPr>
        <w:pStyle w:val="Heading5"/>
      </w:pPr>
      <w:r>
        <w:t xml:space="preserve">EC</w:t>
      </w:r>
      <w:r>
        <w:rPr>
          <w:vertAlign w:val="subscript"/>
        </w:rPr>
        <w:t xml:space="preserve">50</w:t>
      </w:r>
    </w:p>
    <w:p>
      <w:pPr>
        <w:pStyle w:val="FirstParagraph"/>
      </w:pPr>
      <w:r>
        <w:t xml:space="preserve">As all induction processes are mediated by PXR, the same unbound EC</w:t>
      </w:r>
      <w:r>
        <w:rPr>
          <w:vertAlign w:val="subscript"/>
        </w:rPr>
        <w:t xml:space="preserve">50</w:t>
      </w:r>
      <w:r>
        <w:t xml:space="preserve"> </w:t>
      </w:r>
      <w:r>
        <w:t xml:space="preserve">of 0.34 µmol/L (originally measured in primary human hepatocytes for CYP3A4 induction after correcting for the fraction unbound (</w:t>
      </w:r>
      <w:hyperlink w:anchor="Xa559bd5247f9128e74e6edcc17de37648e8cde6">
        <w:r>
          <w:rPr>
            <w:rStyle w:val="Hyperlink"/>
          </w:rPr>
          <w:t xml:space="preserve">Baneyx 2014</w:t>
        </w:r>
      </w:hyperlink>
      <w:r>
        <w:t xml:space="preserve">,</w:t>
      </w:r>
      <w:r>
        <w:t xml:space="preserve"> </w:t>
      </w:r>
      <w:hyperlink w:anchor="Xa559bd5247f9128e74e6edcc17de37648e8cde6">
        <w:r>
          <w:rPr>
            <w:rStyle w:val="Hyperlink"/>
          </w:rPr>
          <w:t xml:space="preserve">Shou 2008</w:t>
        </w:r>
      </w:hyperlink>
      <w:r>
        <w:t xml:space="preserve">,</w:t>
      </w:r>
      <w:r>
        <w:t xml:space="preserve"> </w:t>
      </w:r>
      <w:hyperlink w:anchor="Xa559bd5247f9128e74e6edcc17de37648e8cde6">
        <w:r>
          <w:rPr>
            <w:rStyle w:val="Hyperlink"/>
          </w:rPr>
          <w:t xml:space="preserve">Templeton 2011</w:t>
        </w:r>
      </w:hyperlink>
      <w:r>
        <w:t xml:space="preserve">)) was applied for all induction processes. This assumption is supported by the fact that Moore</w:t>
      </w:r>
      <w:r>
        <w:t xml:space="preserve"> </w:t>
      </w:r>
      <w:r>
        <w:rPr>
          <w:iCs/>
          <w:i/>
        </w:rPr>
        <w:t xml:space="preserve">et al.</w:t>
      </w:r>
      <w:r>
        <w:t xml:space="preserve"> </w:t>
      </w:r>
      <w:hyperlink w:anchor="Xa559bd5247f9128e74e6edcc17de37648e8cde6">
        <w:r>
          <w:rPr>
            <w:rStyle w:val="Hyperlink"/>
          </w:rPr>
          <w:t xml:space="preserve">Moore 2000</w:t>
        </w:r>
      </w:hyperlink>
      <w:r>
        <w:t xml:space="preserve"> </w:t>
      </w:r>
      <w:r>
        <w:t xml:space="preserve">found a general EC</w:t>
      </w:r>
      <w:r>
        <w:rPr>
          <w:vertAlign w:val="subscript"/>
        </w:rPr>
        <w:t xml:space="preserve">50</w:t>
      </w:r>
      <w:r>
        <w:t xml:space="preserve"> </w:t>
      </w:r>
      <w:r>
        <w:t xml:space="preserve">value for PXR-mediated rifampicin induction of 0.71 µmol/L (resulting in an unbound EC</w:t>
      </w:r>
      <w:r>
        <w:rPr>
          <w:vertAlign w:val="subscript"/>
        </w:rPr>
        <w:t xml:space="preserve">50</w:t>
      </w:r>
      <w:r>
        <w:t xml:space="preserve"> </w:t>
      </w:r>
      <w:r>
        <w:t xml:space="preserve">of 0.30 µmol/L after correcting for the fraction unbound reported by</w:t>
      </w:r>
      <w:r>
        <w:t xml:space="preserve"> </w:t>
      </w:r>
      <w:hyperlink w:anchor="Xa559bd5247f9128e74e6edcc17de37648e8cde6">
        <w:r>
          <w:rPr>
            <w:rStyle w:val="Hyperlink"/>
          </w:rPr>
          <w:t xml:space="preserve">Shou 2008</w:t>
        </w:r>
      </w:hyperlink>
      <w:r>
        <w:t xml:space="preserve">).</w:t>
      </w:r>
    </w:p>
    <w:bookmarkEnd w:id="27"/>
    <w:bookmarkStart w:id="28" w:name="emax"/>
    <w:p>
      <w:pPr>
        <w:pStyle w:val="Heading5"/>
      </w:pPr>
      <w:r>
        <w:t xml:space="preserve">E</w:t>
      </w:r>
      <w:r>
        <w:rPr>
          <w:vertAlign w:val="subscript"/>
        </w:rPr>
        <w:t xml:space="preserve">max</w:t>
      </w:r>
    </w:p>
    <w:p>
      <w:pPr>
        <w:pStyle w:val="FirstParagraph"/>
      </w:pPr>
      <w:r>
        <w:t xml:space="preserve">E</w:t>
      </w:r>
      <w:r>
        <w:rPr>
          <w:vertAlign w:val="subscript"/>
        </w:rPr>
        <w:t xml:space="preserve">max</w:t>
      </w:r>
      <w:r>
        <w:t xml:space="preserve"> </w:t>
      </w:r>
      <w:r>
        <w:t xml:space="preserve">values for AADAC and OATP1B1 are unknown and fitted based on observed clinical PK data of rifampicin (see</w:t>
      </w:r>
      <w:r>
        <w:t xml:space="preserve"> </w:t>
      </w:r>
      <w:hyperlink w:anchor="X05e2fd9d2318e5c56a9c57cdc7e48acff331d27">
        <w:r>
          <w:rPr>
            <w:rStyle w:val="Hyperlink"/>
          </w:rPr>
          <w:t xml:space="preserve">Section 2.3.5</w:t>
        </w:r>
      </w:hyperlink>
      <w:r>
        <w:t xml:space="preserve">).</w:t>
      </w:r>
    </w:p>
    <w:p>
      <w:pPr>
        <w:pStyle w:val="BodyText"/>
      </w:pPr>
      <w:r>
        <w:t xml:space="preserve">A study by Greiner et al. (</w:t>
      </w:r>
      <w:hyperlink w:anchor="Xa559bd5247f9128e74e6edcc17de37648e8cde6">
        <w:r>
          <w:rPr>
            <w:rStyle w:val="Hyperlink"/>
          </w:rPr>
          <w:t xml:space="preserve">Greiner 1999</w:t>
        </w:r>
      </w:hyperlink>
      <w:r>
        <w:t xml:space="preserve">) found 3.5-fold elevated P-gp levels in human duodenal biopsies after multiple doses of rifampicin. This value was assumed to represent an</w:t>
      </w:r>
      <w:r>
        <w:t xml:space="preserve"> </w:t>
      </w:r>
      <w:r>
        <w:rPr>
          <w:iCs/>
          <w:i/>
        </w:rPr>
        <w:t xml:space="preserve">in vivo</w:t>
      </w:r>
      <w:r>
        <w:t xml:space="preserve"> </w:t>
      </w:r>
      <w:r>
        <w:t xml:space="preserve">maximum effect corresponding to an E</w:t>
      </w:r>
      <w:r>
        <w:rPr>
          <w:vertAlign w:val="subscript"/>
        </w:rPr>
        <w:t xml:space="preserve">max</w:t>
      </w:r>
      <w:r>
        <w:t xml:space="preserve"> </w:t>
      </w:r>
      <w:r>
        <w:t xml:space="preserve">value of 2.5. This E</w:t>
      </w:r>
      <w:r>
        <w:rPr>
          <w:vertAlign w:val="subscript"/>
        </w:rPr>
        <w:t xml:space="preserve">max</w:t>
      </w:r>
      <w:r>
        <w:t xml:space="preserve"> </w:t>
      </w:r>
      <w:r>
        <w:t xml:space="preserve">was included in the model for P-gp induction (see also</w:t>
      </w:r>
      <w:r>
        <w:t xml:space="preserve"> </w:t>
      </w:r>
      <w:hyperlink w:anchor="X873f1d933aeea7d4aa146491e21cc3be56dfc99">
        <w:r>
          <w:rPr>
            <w:rStyle w:val="Hyperlink"/>
          </w:rPr>
          <w:t xml:space="preserve">Section 2.2.1</w:t>
        </w:r>
      </w:hyperlink>
      <w:r>
        <w:t xml:space="preserve">).</w:t>
      </w:r>
    </w:p>
    <w:bookmarkEnd w:id="28"/>
    <w:bookmarkStart w:id="29" w:name="protein-turnover-half-lives"/>
    <w:p>
      <w:pPr>
        <w:pStyle w:val="Heading5"/>
      </w:pPr>
      <w:r>
        <w:t xml:space="preserve">Protein turnover (half-lives)</w:t>
      </w:r>
    </w:p>
    <w:p>
      <w:pPr>
        <w:pStyle w:val="FirstParagraph"/>
      </w:pPr>
      <w:r>
        <w:t xml:space="preserve">Endogenous half-lives of these proteins are not known. Therefore, the same values applicable for CYP3A4 turnover (as implemented in PK-Sim (</w:t>
      </w:r>
      <w:hyperlink w:anchor="Xa559bd5247f9128e74e6edcc17de37648e8cde6">
        <w:r>
          <w:rPr>
            <w:rStyle w:val="Hyperlink"/>
          </w:rPr>
          <w:t xml:space="preserve">PK-Sim Ontogeny Database Version 7.3</w:t>
        </w:r>
      </w:hyperlink>
      <w:r>
        <w:t xml:space="preserve">) were assumed, i.e. 36 hours in the liver (</w:t>
      </w:r>
      <w:hyperlink w:anchor="Xa559bd5247f9128e74e6edcc17de37648e8cde6">
        <w:r>
          <w:rPr>
            <w:rStyle w:val="Hyperlink"/>
          </w:rPr>
          <w:t xml:space="preserve">Obach 2007</w:t>
        </w:r>
      </w:hyperlink>
      <w:r>
        <w:t xml:space="preserve">) and 23 hours in the intestine (</w:t>
      </w:r>
      <w:hyperlink w:anchor="Xa559bd5247f9128e74e6edcc17de37648e8cde6">
        <w:r>
          <w:rPr>
            <w:rStyle w:val="Hyperlink"/>
          </w:rPr>
          <w:t xml:space="preserve">Greenblatt 2003</w:t>
        </w:r>
      </w:hyperlink>
      <w:r>
        <w:t xml:space="preserve">).</w:t>
      </w:r>
    </w:p>
    <w:bookmarkEnd w:id="29"/>
    <w:bookmarkEnd w:id="30"/>
    <w:bookmarkEnd w:id="31"/>
    <w:bookmarkStart w:id="43" w:name="ddi-parameters"/>
    <w:p>
      <w:pPr>
        <w:pStyle w:val="Heading3"/>
      </w:pPr>
      <w:r>
        <w:t xml:space="preserve">2.3.4 DDI Parameters</w:t>
      </w:r>
    </w:p>
    <w:p>
      <w:pPr>
        <w:pStyle w:val="FirstParagraph"/>
      </w:pPr>
      <w:r>
        <w:t xml:space="preserve">The following sub-section describe the model input for DDI-related parameters, i.e. induction and inhibition of certain enzymes and transporters, for which rifampicin may act as a perpetrator. Verification of these model parameters and linked processes is not evaluated in this report. Applications are assessed in specific use cases and reported elsewhere.</w:t>
      </w:r>
    </w:p>
    <w:bookmarkStart w:id="32" w:name="cyp3a4-induction-and-inhibition"/>
    <w:p>
      <w:pPr>
        <w:pStyle w:val="Heading4"/>
      </w:pPr>
      <w:r>
        <w:t xml:space="preserve">CYP3A4 induction and inhibition</w:t>
      </w:r>
    </w:p>
    <w:p>
      <w:pPr>
        <w:pStyle w:val="FirstParagraph"/>
      </w:pPr>
      <w:r>
        <w:t xml:space="preserve">Induction of CYP3A4 was incorporated using the weighted mean</w:t>
      </w:r>
      <w:r>
        <w:t xml:space="preserve"> </w:t>
      </w:r>
      <w:r>
        <w:rPr>
          <w:bCs/>
          <w:b/>
        </w:rPr>
        <w:t xml:space="preserve">EC</w:t>
      </w:r>
      <w:r>
        <w:rPr>
          <w:vertAlign w:val="subscript"/>
          <w:bCs/>
          <w:b/>
        </w:rPr>
        <w:t xml:space="preserve">50</w:t>
      </w:r>
      <w:r>
        <w:t xml:space="preserve"> </w:t>
      </w:r>
      <w:r>
        <w:t xml:space="preserve">of 0.8 µmol/L and</w:t>
      </w:r>
      <w:r>
        <w:t xml:space="preserve"> </w:t>
      </w:r>
      <w:r>
        <w:rPr>
          <w:bCs/>
          <w:b/>
        </w:rPr>
        <w:t xml:space="preserve">E</w:t>
      </w:r>
      <w:r>
        <w:rPr>
          <w:vertAlign w:val="subscript"/>
          <w:bCs/>
          <w:b/>
        </w:rPr>
        <w:t xml:space="preserve">max </w:t>
      </w:r>
      <w:r>
        <w:t xml:space="preserve"> </w:t>
      </w:r>
      <w:r>
        <w:t xml:space="preserve">estimate of 9 based on CYP3A4 activity induction in primary human hepatocytes (</w:t>
      </w:r>
      <w:hyperlink w:anchor="Xa559bd5247f9128e74e6edcc17de37648e8cde6">
        <w:r>
          <w:rPr>
            <w:rStyle w:val="Hyperlink"/>
          </w:rPr>
          <w:t xml:space="preserve">Templeton 2011</w:t>
        </w:r>
      </w:hyperlink>
      <w:r>
        <w:t xml:space="preserve">, see also</w:t>
      </w:r>
      <w:r>
        <w:t xml:space="preserve"> </w:t>
      </w:r>
      <w:hyperlink w:anchor="X873f1d933aeea7d4aa146491e21cc3be56dfc99">
        <w:r>
          <w:rPr>
            <w:rStyle w:val="Hyperlink"/>
          </w:rPr>
          <w:t xml:space="preserve">Section 2.2.1</w:t>
        </w:r>
      </w:hyperlink>
      <w:r>
        <w:t xml:space="preserve">). Similar values for EC</w:t>
      </w:r>
      <w:r>
        <w:rPr>
          <w:vertAlign w:val="subscript"/>
        </w:rPr>
        <w:t xml:space="preserve">50</w:t>
      </w:r>
      <w:r>
        <w:t xml:space="preserve"> </w:t>
      </w:r>
      <w:r>
        <w:t xml:space="preserve">(0.77, 0.80 µmol/L) and E~max ~ (7, 9, 10) have been reported by other groups (</w:t>
      </w:r>
      <w:hyperlink w:anchor="Xa559bd5247f9128e74e6edcc17de37648e8cde6">
        <w:r>
          <w:rPr>
            <w:rStyle w:val="Hyperlink"/>
          </w:rPr>
          <w:t xml:space="preserve">Kolars 1992</w:t>
        </w:r>
      </w:hyperlink>
      <w:r>
        <w:t xml:space="preserve">,</w:t>
      </w:r>
      <w:r>
        <w:t xml:space="preserve"> </w:t>
      </w:r>
      <w:hyperlink w:anchor="Xa559bd5247f9128e74e6edcc17de37648e8cde6">
        <w:r>
          <w:rPr>
            <w:rStyle w:val="Hyperlink"/>
          </w:rPr>
          <w:t xml:space="preserve">Mills 2004</w:t>
        </w:r>
      </w:hyperlink>
      <w:r>
        <w:t xml:space="preserve">,</w:t>
      </w:r>
      <w:r>
        <w:t xml:space="preserve"> </w:t>
      </w:r>
      <w:hyperlink w:anchor="Xa559bd5247f9128e74e6edcc17de37648e8cde6">
        <w:r>
          <w:rPr>
            <w:rStyle w:val="Hyperlink"/>
          </w:rPr>
          <w:t xml:space="preserve">Sahi 2000</w:t>
        </w:r>
      </w:hyperlink>
      <w:r>
        <w:t xml:space="preserve">). The</w:t>
      </w:r>
      <w:r>
        <w:t xml:space="preserve"> </w:t>
      </w:r>
      <w:r>
        <w:rPr>
          <w:iCs/>
          <w:i/>
        </w:rPr>
        <w:t xml:space="preserve">in vitro</w:t>
      </w:r>
      <w:r>
        <w:t xml:space="preserve"> </w:t>
      </w:r>
      <w:r>
        <w:t xml:space="preserve">value of EC</w:t>
      </w:r>
      <w:r>
        <w:rPr>
          <w:vertAlign w:val="subscript"/>
        </w:rPr>
        <w:t xml:space="preserve">50</w:t>
      </w:r>
      <w:r>
        <w:t xml:space="preserve"> </w:t>
      </w:r>
      <w:r>
        <w:t xml:space="preserve">of 0.8 µmol/L was corrected by the unbound fraction of rifampicin in hepatocytes of 0.419 to obtain an</w:t>
      </w:r>
      <w:r>
        <w:t xml:space="preserve"> </w:t>
      </w:r>
      <w:r>
        <w:rPr>
          <w:bCs/>
          <w:b/>
        </w:rPr>
        <w:t xml:space="preserve">unbound EC</w:t>
      </w:r>
      <w:r>
        <w:rPr>
          <w:vertAlign w:val="subscript"/>
          <w:bCs/>
          <w:b/>
        </w:rPr>
        <w:t xml:space="preserve">50</w:t>
      </w:r>
      <w:r>
        <w:t xml:space="preserve"> </w:t>
      </w:r>
      <w:r>
        <w:t xml:space="preserve">value of 0.34 µmol/L (</w:t>
      </w:r>
      <w:hyperlink w:anchor="Xa559bd5247f9128e74e6edcc17de37648e8cde6">
        <w:r>
          <w:rPr>
            <w:rStyle w:val="Hyperlink"/>
          </w:rPr>
          <w:t xml:space="preserve">Baneyx 2014</w:t>
        </w:r>
      </w:hyperlink>
      <w:r>
        <w:t xml:space="preserve">,</w:t>
      </w:r>
      <w:r>
        <w:t xml:space="preserve"> </w:t>
      </w:r>
      <w:hyperlink w:anchor="Xa559bd5247f9128e74e6edcc17de37648e8cde6">
        <w:r>
          <w:rPr>
            <w:rStyle w:val="Hyperlink"/>
          </w:rPr>
          <w:t xml:space="preserve">Shou 2008</w:t>
        </w:r>
      </w:hyperlink>
      <w:r>
        <w:t xml:space="preserve">,</w:t>
      </w:r>
      <w:r>
        <w:t xml:space="preserve"> </w:t>
      </w:r>
      <w:hyperlink w:anchor="Xa559bd5247f9128e74e6edcc17de37648e8cde6">
        <w:r>
          <w:rPr>
            <w:rStyle w:val="Hyperlink"/>
          </w:rPr>
          <w:t xml:space="preserve">Templeton 2011</w:t>
        </w:r>
      </w:hyperlink>
      <w:r>
        <w:t xml:space="preserve">) which was used in the PBPK model.</w:t>
      </w:r>
    </w:p>
    <w:p>
      <w:pPr>
        <w:pStyle w:val="BodyText"/>
      </w:pPr>
      <w:r>
        <w:t xml:space="preserve">Competitive inhibition of CYP3A4 by rifampicin was included using a dissociation (inhibition) constant (</w:t>
      </w:r>
      <w:r>
        <w:rPr>
          <w:bCs/>
          <w:b/>
        </w:rPr>
        <w:t xml:space="preserve">K</w:t>
      </w:r>
      <w:r>
        <w:rPr>
          <w:vertAlign w:val="subscript"/>
          <w:bCs/>
          <w:b/>
        </w:rPr>
        <w:t xml:space="preserve">i</w:t>
      </w:r>
      <w:r>
        <w:t xml:space="preserve">) of 18.5 µmol/L determined in human liver microsomes via inhibition of midazolam 1-hydroxylation (</w:t>
      </w:r>
      <w:hyperlink w:anchor="Xa559bd5247f9128e74e6edcc17de37648e8cde6">
        <w:r>
          <w:rPr>
            <w:rStyle w:val="Hyperlink"/>
          </w:rPr>
          <w:t xml:space="preserve">Kajosaari 2005</w:t>
        </w:r>
      </w:hyperlink>
      <w:r>
        <w:t xml:space="preserve">). No correction of this</w:t>
      </w:r>
      <w:r>
        <w:t xml:space="preserve"> </w:t>
      </w:r>
      <w:r>
        <w:rPr>
          <w:iCs/>
          <w:i/>
        </w:rPr>
        <w:t xml:space="preserve">in vitro</w:t>
      </w:r>
      <w:r>
        <w:t xml:space="preserve"> </w:t>
      </w:r>
      <w:r>
        <w:t xml:space="preserve">value was applied to account for potential binding in the assay, as only 0.1 mg/mL human liver microsomal protein was used and a negligible unbound fraction of 0.90 – 0.98 was predicted (</w:t>
      </w:r>
      <w:hyperlink w:anchor="Xa559bd5247f9128e74e6edcc17de37648e8cde6">
        <w:r>
          <w:rPr>
            <w:rStyle w:val="Hyperlink"/>
          </w:rPr>
          <w:t xml:space="preserve">Austin 2002</w:t>
        </w:r>
      </w:hyperlink>
      <w:r>
        <w:t xml:space="preserve">).</w:t>
      </w:r>
    </w:p>
    <w:p>
      <w:pPr>
        <w:pStyle w:val="BodyText"/>
      </w:pPr>
      <w:r>
        <w:t xml:space="preserve">Time to reach newly induced CYP3A4 levels and time for de-induction depends on the half-lives of the perpetrator drug but also of the endogenous natural turnover of the induced protein. CYP3A4 turnover featured zero-order synthesis rate and first-order degradation rate. A distinct degradation rate constant (k</w:t>
      </w:r>
      <w:r>
        <w:rPr>
          <w:vertAlign w:val="subscript"/>
        </w:rPr>
        <w:t xml:space="preserve">deg</w:t>
      </w:r>
      <w:r>
        <w:t xml:space="preserve">) was considered for the intestinal mucosa which rather reflects enterocytic turnover than protein turnover, while in all other CYP3A4 expressing organs CYP3A4 turnover was assumed to follow that of the liver.</w:t>
      </w:r>
      <w:r>
        <w:t xml:space="preserve"> </w:t>
      </w:r>
      <w:r>
        <w:rPr>
          <w:bCs/>
          <w:b/>
        </w:rPr>
        <w:t xml:space="preserve">CYP3A4 half-life</w:t>
      </w:r>
      <w:r>
        <w:t xml:space="preserve"> </w:t>
      </w:r>
      <w:r>
        <w:t xml:space="preserve">(= ln(2)/k</w:t>
      </w:r>
      <w:r>
        <w:rPr>
          <w:vertAlign w:val="subscript"/>
        </w:rPr>
        <w:t xml:space="preserve">deg</w:t>
      </w:r>
      <w:r>
        <w:t xml:space="preserve">) of 23 and 36 h in intestine and liver, respectively, were incorporated (</w:t>
      </w:r>
      <w:hyperlink w:anchor="Xa559bd5247f9128e74e6edcc17de37648e8cde6">
        <w:r>
          <w:rPr>
            <w:rStyle w:val="Hyperlink"/>
          </w:rPr>
          <w:t xml:space="preserve">Obach 2007</w:t>
        </w:r>
      </w:hyperlink>
      <w:r>
        <w:t xml:space="preserve">,</w:t>
      </w:r>
      <w:r>
        <w:t xml:space="preserve"> </w:t>
      </w:r>
      <w:hyperlink w:anchor="Xa559bd5247f9128e74e6edcc17de37648e8cde6">
        <w:r>
          <w:rPr>
            <w:rStyle w:val="Hyperlink"/>
          </w:rPr>
          <w:t xml:space="preserve">Greenblatt 2003</w:t>
        </w:r>
      </w:hyperlink>
      <w:r>
        <w:t xml:space="preserve">,</w:t>
      </w:r>
      <w:r>
        <w:t xml:space="preserve"> </w:t>
      </w:r>
      <w:hyperlink w:anchor="Xa559bd5247f9128e74e6edcc17de37648e8cde6">
        <w:r>
          <w:rPr>
            <w:rStyle w:val="Hyperlink"/>
          </w:rPr>
          <w:t xml:space="preserve">PK-Sim Ontogeny Database Version 7.3</w:t>
        </w:r>
      </w:hyperlink>
      <w:r>
        <w:t xml:space="preserve">).</w:t>
      </w:r>
    </w:p>
    <w:bookmarkEnd w:id="32"/>
    <w:bookmarkStart w:id="33" w:name="cyp2c8-induction-and-inhibition"/>
    <w:p>
      <w:pPr>
        <w:pStyle w:val="Heading4"/>
      </w:pPr>
      <w:r>
        <w:t xml:space="preserve">CYP2C8 induction and inhibition</w:t>
      </w:r>
    </w:p>
    <w:p>
      <w:pPr>
        <w:pStyle w:val="FirstParagraph"/>
      </w:pPr>
      <w:r>
        <w:t xml:space="preserve">For PXR-mediated induction, the same unbound EC</w:t>
      </w:r>
      <w:r>
        <w:rPr>
          <w:vertAlign w:val="subscript"/>
        </w:rPr>
        <w:t xml:space="preserve">50</w:t>
      </w:r>
      <w:r>
        <w:t xml:space="preserve"> </w:t>
      </w:r>
      <w:r>
        <w:t xml:space="preserve">of 0.34 µmol/L (originally measured in primary human hepatocytes for CYP3A4 induction after correcting for the fraction unbound (</w:t>
      </w:r>
      <w:hyperlink w:anchor="Xa559bd5247f9128e74e6edcc17de37648e8cde6">
        <w:r>
          <w:rPr>
            <w:rStyle w:val="Hyperlink"/>
          </w:rPr>
          <w:t xml:space="preserve">Baneyx 2014</w:t>
        </w:r>
      </w:hyperlink>
      <w:r>
        <w:t xml:space="preserve">,</w:t>
      </w:r>
      <w:r>
        <w:t xml:space="preserve"> </w:t>
      </w:r>
      <w:hyperlink w:anchor="Xa559bd5247f9128e74e6edcc17de37648e8cde6">
        <w:r>
          <w:rPr>
            <w:rStyle w:val="Hyperlink"/>
          </w:rPr>
          <w:t xml:space="preserve">Shou 2008</w:t>
        </w:r>
      </w:hyperlink>
      <w:r>
        <w:t xml:space="preserve">,</w:t>
      </w:r>
      <w:r>
        <w:t xml:space="preserve"> </w:t>
      </w:r>
      <w:hyperlink w:anchor="Xa559bd5247f9128e74e6edcc17de37648e8cde6">
        <w:r>
          <w:rPr>
            <w:rStyle w:val="Hyperlink"/>
          </w:rPr>
          <w:t xml:space="preserve">Templeton 2011</w:t>
        </w:r>
      </w:hyperlink>
      <w:r>
        <w:t xml:space="preserve">)) was applied (see above).</w:t>
      </w:r>
    </w:p>
    <w:p>
      <w:pPr>
        <w:pStyle w:val="BodyText"/>
      </w:pPr>
      <w:r>
        <w:t xml:space="preserve">An E</w:t>
      </w:r>
      <w:r>
        <w:rPr>
          <w:vertAlign w:val="subscript"/>
        </w:rPr>
        <w:t xml:space="preserve">max</w:t>
      </w:r>
      <w:r>
        <w:t xml:space="preserve"> </w:t>
      </w:r>
      <w:r>
        <w:t xml:space="preserve">value reported by Buckley</w:t>
      </w:r>
      <w:r>
        <w:t xml:space="preserve"> </w:t>
      </w:r>
      <w:r>
        <w:rPr>
          <w:iCs/>
          <w:i/>
        </w:rPr>
        <w:t xml:space="preserve">et al.</w:t>
      </w:r>
      <w:r>
        <w:t xml:space="preserve"> </w:t>
      </w:r>
      <w:r>
        <w:t xml:space="preserve">(</w:t>
      </w:r>
      <w:hyperlink w:anchor="Xa559bd5247f9128e74e6edcc17de37648e8cde6">
        <w:r>
          <w:rPr>
            <w:rStyle w:val="Hyperlink"/>
          </w:rPr>
          <w:t xml:space="preserve">Buckley 2014</w:t>
        </w:r>
      </w:hyperlink>
      <w:r>
        <w:t xml:space="preserve">) served as model input (see</w:t>
      </w:r>
      <w:r>
        <w:t xml:space="preserve"> </w:t>
      </w:r>
      <w:hyperlink w:anchor="X873f1d933aeea7d4aa146491e21cc3be56dfc99">
        <w:r>
          <w:rPr>
            <w:rStyle w:val="Hyperlink"/>
          </w:rPr>
          <w:t xml:space="preserve">Section 2.2.1</w:t>
        </w:r>
      </w:hyperlink>
      <w:r>
        <w:t xml:space="preserve">).</w:t>
      </w:r>
    </w:p>
    <w:p>
      <w:pPr>
        <w:pStyle w:val="BodyText"/>
      </w:pPr>
      <w:r>
        <w:t xml:space="preserve">CYP2C8 half-life of 23 h in the liver (</w:t>
      </w:r>
      <w:hyperlink w:anchor="Xa559bd5247f9128e74e6edcc17de37648e8cde6">
        <w:r>
          <w:rPr>
            <w:rStyle w:val="Hyperlink"/>
          </w:rPr>
          <w:t xml:space="preserve">Renwick 2000</w:t>
        </w:r>
      </w:hyperlink>
      <w:r>
        <w:t xml:space="preserve">,</w:t>
      </w:r>
      <w:r>
        <w:t xml:space="preserve"> </w:t>
      </w:r>
      <w:hyperlink w:anchor="Xa559bd5247f9128e74e6edcc17de37648e8cde6">
        <w:r>
          <w:rPr>
            <w:rStyle w:val="Hyperlink"/>
          </w:rPr>
          <w:t xml:space="preserve">PK-Sim Ontogeny Database Version 7.3</w:t>
        </w:r>
      </w:hyperlink>
      <w:r>
        <w:t xml:space="preserve">) and of 23 h in the intestine (assuming that the turnover here rather reflects enterocytic turnover than protein turnover) (</w:t>
      </w:r>
      <w:hyperlink w:anchor="Xa559bd5247f9128e74e6edcc17de37648e8cde6">
        <w:r>
          <w:rPr>
            <w:rStyle w:val="Hyperlink"/>
          </w:rPr>
          <w:t xml:space="preserve">Greenblatt 2003</w:t>
        </w:r>
      </w:hyperlink>
      <w:r>
        <w:t xml:space="preserve">,</w:t>
      </w:r>
      <w:r>
        <w:t xml:space="preserve"> </w:t>
      </w:r>
      <w:hyperlink w:anchor="Xa559bd5247f9128e74e6edcc17de37648e8cde6">
        <w:r>
          <w:rPr>
            <w:rStyle w:val="Hyperlink"/>
          </w:rPr>
          <w:t xml:space="preserve">PK-Sim Ontogeny Database Version 7.3</w:t>
        </w:r>
      </w:hyperlink>
      <w:r>
        <w:t xml:space="preserve">) were incorporated.</w:t>
      </w:r>
    </w:p>
    <w:p>
      <w:pPr>
        <w:pStyle w:val="BodyText"/>
      </w:pPr>
      <w:r>
        <w:t xml:space="preserve">An</w:t>
      </w:r>
      <w:r>
        <w:t xml:space="preserve"> </w:t>
      </w:r>
      <w:r>
        <w:rPr>
          <w:iCs/>
          <w:i/>
        </w:rPr>
        <w:t xml:space="preserve">in vitro</w:t>
      </w:r>
      <w:r>
        <w:t xml:space="preserve"> </w:t>
      </w:r>
      <w:r>
        <w:t xml:space="preserve">determined K</w:t>
      </w:r>
      <w:r>
        <w:rPr>
          <w:vertAlign w:val="subscript"/>
        </w:rPr>
        <w:t xml:space="preserve">i</w:t>
      </w:r>
      <w:r>
        <w:t xml:space="preserve"> </w:t>
      </w:r>
      <w:r>
        <w:t xml:space="preserve">value for rifampicin (</w:t>
      </w:r>
      <w:hyperlink w:anchor="Xa559bd5247f9128e74e6edcc17de37648e8cde6">
        <w:r>
          <w:rPr>
            <w:rStyle w:val="Hyperlink"/>
          </w:rPr>
          <w:t xml:space="preserve">Kajosaari 2005</w:t>
        </w:r>
      </w:hyperlink>
      <w:r>
        <w:t xml:space="preserve">) served directly as model input.</w:t>
      </w:r>
    </w:p>
    <w:bookmarkEnd w:id="33"/>
    <w:bookmarkStart w:id="34" w:name="cyp2c9-inhibition"/>
    <w:p>
      <w:pPr>
        <w:pStyle w:val="Heading4"/>
      </w:pPr>
      <w:r>
        <w:t xml:space="preserve">CYP2C9 inhibition</w:t>
      </w:r>
    </w:p>
    <w:p>
      <w:pPr>
        <w:pStyle w:val="FirstParagraph"/>
      </w:pPr>
      <w:r>
        <w:t xml:space="preserve">Competitive inhibition of CYP2C9 by rifampicin was included using a dissociation (inhibition) constant (</w:t>
      </w:r>
      <w:r>
        <w:rPr>
          <w:bCs/>
          <w:b/>
        </w:rPr>
        <w:t xml:space="preserve">K</w:t>
      </w:r>
      <w:r>
        <w:rPr>
          <w:vertAlign w:val="subscript"/>
          <w:bCs/>
          <w:b/>
        </w:rPr>
        <w:t xml:space="preserve">i</w:t>
      </w:r>
      <w:r>
        <w:t xml:space="preserve">) of 150 µmol/L (</w:t>
      </w:r>
      <w:hyperlink w:anchor="Xa559bd5247f9128e74e6edcc17de37648e8cde6">
        <w:r>
          <w:rPr>
            <w:rStyle w:val="Hyperlink"/>
          </w:rPr>
          <w:t xml:space="preserve">Yoshida 2012</w:t>
        </w:r>
      </w:hyperlink>
      <w:r>
        <w:t xml:space="preserve">,</w:t>
      </w:r>
      <w:r>
        <w:t xml:space="preserve"> </w:t>
      </w:r>
      <w:hyperlink w:anchor="Xa559bd5247f9128e74e6edcc17de37648e8cde6">
        <w:r>
          <w:rPr>
            <w:rStyle w:val="Hyperlink"/>
          </w:rPr>
          <w:t xml:space="preserve">Hanke 2021</w:t>
        </w:r>
      </w:hyperlink>
      <w:r>
        <w:t xml:space="preserve">).</w:t>
      </w:r>
    </w:p>
    <w:bookmarkEnd w:id="34"/>
    <w:bookmarkStart w:id="35" w:name="cyp1a2-induction"/>
    <w:p>
      <w:pPr>
        <w:pStyle w:val="Heading4"/>
      </w:pPr>
      <w:r>
        <w:t xml:space="preserve">CYP1A2 induction</w:t>
      </w:r>
    </w:p>
    <w:p>
      <w:pPr>
        <w:pStyle w:val="FirstParagraph"/>
      </w:pPr>
      <w:r>
        <w:t xml:space="preserve">For PXR-mediated induction, the same unbound EC</w:t>
      </w:r>
      <w:r>
        <w:rPr>
          <w:vertAlign w:val="subscript"/>
        </w:rPr>
        <w:t xml:space="preserve">50</w:t>
      </w:r>
      <w:r>
        <w:t xml:space="preserve"> </w:t>
      </w:r>
      <w:r>
        <w:t xml:space="preserve">of 0.34 µmol/L (originally measured in primary human hepatocytes for CYP3A4 induction after correcting for the fraction unbound (</w:t>
      </w:r>
      <w:hyperlink w:anchor="Xa559bd5247f9128e74e6edcc17de37648e8cde6">
        <w:r>
          <w:rPr>
            <w:rStyle w:val="Hyperlink"/>
          </w:rPr>
          <w:t xml:space="preserve">Baneyx 2014</w:t>
        </w:r>
      </w:hyperlink>
      <w:r>
        <w:t xml:space="preserve">,</w:t>
      </w:r>
      <w:r>
        <w:t xml:space="preserve"> </w:t>
      </w:r>
      <w:hyperlink w:anchor="Xa559bd5247f9128e74e6edcc17de37648e8cde6">
        <w:r>
          <w:rPr>
            <w:rStyle w:val="Hyperlink"/>
          </w:rPr>
          <w:t xml:space="preserve">Shou 2008</w:t>
        </w:r>
      </w:hyperlink>
      <w:r>
        <w:t xml:space="preserve">,</w:t>
      </w:r>
      <w:r>
        <w:t xml:space="preserve"> </w:t>
      </w:r>
      <w:hyperlink w:anchor="Xa559bd5247f9128e74e6edcc17de37648e8cde6">
        <w:r>
          <w:rPr>
            <w:rStyle w:val="Hyperlink"/>
          </w:rPr>
          <w:t xml:space="preserve">Templeton 2011</w:t>
        </w:r>
      </w:hyperlink>
      <w:r>
        <w:t xml:space="preserve">)) was applied (see above).</w:t>
      </w:r>
    </w:p>
    <w:p>
      <w:pPr>
        <w:pStyle w:val="BodyText"/>
      </w:pPr>
      <w:r>
        <w:t xml:space="preserve">An E</w:t>
      </w:r>
      <w:r>
        <w:rPr>
          <w:vertAlign w:val="subscript"/>
        </w:rPr>
        <w:t xml:space="preserve">max</w:t>
      </w:r>
      <w:r>
        <w:t xml:space="preserve"> </w:t>
      </w:r>
      <w:r>
        <w:t xml:space="preserve">value reported by Chen</w:t>
      </w:r>
      <w:r>
        <w:t xml:space="preserve"> </w:t>
      </w:r>
      <w:r>
        <w:rPr>
          <w:iCs/>
          <w:i/>
        </w:rPr>
        <w:t xml:space="preserve">et al.</w:t>
      </w:r>
      <w:r>
        <w:t xml:space="preserve"> </w:t>
      </w:r>
      <w:r>
        <w:t xml:space="preserve">(</w:t>
      </w:r>
      <w:hyperlink w:anchor="Xa559bd5247f9128e74e6edcc17de37648e8cde6">
        <w:r>
          <w:rPr>
            <w:rStyle w:val="Hyperlink"/>
          </w:rPr>
          <w:t xml:space="preserve">Chen 2010</w:t>
        </w:r>
      </w:hyperlink>
      <w:r>
        <w:t xml:space="preserve">) served as model input (see</w:t>
      </w:r>
      <w:r>
        <w:t xml:space="preserve"> </w:t>
      </w:r>
      <w:hyperlink w:anchor="X873f1d933aeea7d4aa146491e21cc3be56dfc99">
        <w:r>
          <w:rPr>
            <w:rStyle w:val="Hyperlink"/>
          </w:rPr>
          <w:t xml:space="preserve">Section 2.2.1</w:t>
        </w:r>
      </w:hyperlink>
      <w:r>
        <w:t xml:space="preserve">).</w:t>
      </w:r>
    </w:p>
    <w:p>
      <w:pPr>
        <w:pStyle w:val="BodyText"/>
      </w:pPr>
      <w:r>
        <w:t xml:space="preserve">CYP1A2 half-life of 39 h in the liver (</w:t>
      </w:r>
      <w:hyperlink w:anchor="Xa559bd5247f9128e74e6edcc17de37648e8cde6">
        <w:r>
          <w:rPr>
            <w:rStyle w:val="Hyperlink"/>
          </w:rPr>
          <w:t xml:space="preserve">Obach 2007</w:t>
        </w:r>
      </w:hyperlink>
      <w:r>
        <w:t xml:space="preserve">,</w:t>
      </w:r>
      <w:r>
        <w:t xml:space="preserve"> </w:t>
      </w:r>
      <w:hyperlink w:anchor="Xa559bd5247f9128e74e6edcc17de37648e8cde6">
        <w:r>
          <w:rPr>
            <w:rStyle w:val="Hyperlink"/>
          </w:rPr>
          <w:t xml:space="preserve">PK-Sim Ontogeny Database Version 7.3</w:t>
        </w:r>
      </w:hyperlink>
      <w:r>
        <w:t xml:space="preserve">) and of 23 h in the intestine (assuming that the turnover here rather reflects enterocytic turnover than protein turnover) (</w:t>
      </w:r>
      <w:hyperlink w:anchor="Xa559bd5247f9128e74e6edcc17de37648e8cde6">
        <w:r>
          <w:rPr>
            <w:rStyle w:val="Hyperlink"/>
          </w:rPr>
          <w:t xml:space="preserve">Greenblatt 2003</w:t>
        </w:r>
      </w:hyperlink>
      <w:r>
        <w:t xml:space="preserve">,</w:t>
      </w:r>
      <w:r>
        <w:t xml:space="preserve"> </w:t>
      </w:r>
      <w:hyperlink w:anchor="Xa559bd5247f9128e74e6edcc17de37648e8cde6">
        <w:r>
          <w:rPr>
            <w:rStyle w:val="Hyperlink"/>
          </w:rPr>
          <w:t xml:space="preserve">PK-Sim Ontogeny Database Version 7.3</w:t>
        </w:r>
      </w:hyperlink>
      <w:r>
        <w:t xml:space="preserve">) were incorporated.</w:t>
      </w:r>
    </w:p>
    <w:bookmarkEnd w:id="35"/>
    <w:bookmarkStart w:id="36" w:name="cyp2e1-induction"/>
    <w:p>
      <w:pPr>
        <w:pStyle w:val="Heading4"/>
      </w:pPr>
      <w:r>
        <w:t xml:space="preserve">CYP2E1 induction</w:t>
      </w:r>
    </w:p>
    <w:p>
      <w:pPr>
        <w:pStyle w:val="FirstParagraph"/>
      </w:pPr>
      <w:r>
        <w:t xml:space="preserve">For PXR-mediated induction, the same unbound EC</w:t>
      </w:r>
      <w:r>
        <w:rPr>
          <w:vertAlign w:val="subscript"/>
        </w:rPr>
        <w:t xml:space="preserve">50</w:t>
      </w:r>
      <w:r>
        <w:t xml:space="preserve"> </w:t>
      </w:r>
      <w:r>
        <w:t xml:space="preserve">of 0.34 µmol/L (originally measured in primary human hepatocytes for CYP3A4 induction after correcting for the fraction unbound (</w:t>
      </w:r>
      <w:hyperlink w:anchor="Xa559bd5247f9128e74e6edcc17de37648e8cde6">
        <w:r>
          <w:rPr>
            <w:rStyle w:val="Hyperlink"/>
          </w:rPr>
          <w:t xml:space="preserve">Baneyx 2014</w:t>
        </w:r>
      </w:hyperlink>
      <w:r>
        <w:t xml:space="preserve">,</w:t>
      </w:r>
      <w:r>
        <w:t xml:space="preserve"> </w:t>
      </w:r>
      <w:hyperlink w:anchor="Xa559bd5247f9128e74e6edcc17de37648e8cde6">
        <w:r>
          <w:rPr>
            <w:rStyle w:val="Hyperlink"/>
          </w:rPr>
          <w:t xml:space="preserve">Shou 2008</w:t>
        </w:r>
      </w:hyperlink>
      <w:r>
        <w:t xml:space="preserve">,</w:t>
      </w:r>
      <w:r>
        <w:t xml:space="preserve"> </w:t>
      </w:r>
      <w:hyperlink w:anchor="Xa559bd5247f9128e74e6edcc17de37648e8cde6">
        <w:r>
          <w:rPr>
            <w:rStyle w:val="Hyperlink"/>
          </w:rPr>
          <w:t xml:space="preserve">Templeton 2011</w:t>
        </w:r>
      </w:hyperlink>
      <w:r>
        <w:t xml:space="preserve">)) was applied (see above).</w:t>
      </w:r>
    </w:p>
    <w:p>
      <w:pPr>
        <w:pStyle w:val="BodyText"/>
      </w:pPr>
      <w:r>
        <w:t xml:space="preserve">An E</w:t>
      </w:r>
      <w:r>
        <w:rPr>
          <w:vertAlign w:val="subscript"/>
        </w:rPr>
        <w:t xml:space="preserve">max</w:t>
      </w:r>
      <w:r>
        <w:t xml:space="preserve"> </w:t>
      </w:r>
      <w:r>
        <w:t xml:space="preserve">value reported by Rae</w:t>
      </w:r>
      <w:r>
        <w:t xml:space="preserve"> </w:t>
      </w:r>
      <w:r>
        <w:rPr>
          <w:iCs/>
          <w:i/>
        </w:rPr>
        <w:t xml:space="preserve">et al.</w:t>
      </w:r>
      <w:r>
        <w:t xml:space="preserve"> </w:t>
      </w:r>
      <w:r>
        <w:t xml:space="preserve">(</w:t>
      </w:r>
      <w:hyperlink w:anchor="Xa559bd5247f9128e74e6edcc17de37648e8cde6">
        <w:r>
          <w:rPr>
            <w:rStyle w:val="Hyperlink"/>
          </w:rPr>
          <w:t xml:space="preserve">Rae 2001</w:t>
        </w:r>
      </w:hyperlink>
      <w:r>
        <w:t xml:space="preserve">) served as model input (see</w:t>
      </w:r>
      <w:r>
        <w:t xml:space="preserve"> </w:t>
      </w:r>
      <w:hyperlink w:anchor="X873f1d933aeea7d4aa146491e21cc3be56dfc99">
        <w:r>
          <w:rPr>
            <w:rStyle w:val="Hyperlink"/>
          </w:rPr>
          <w:t xml:space="preserve">Section 2.2.1</w:t>
        </w:r>
      </w:hyperlink>
      <w:r>
        <w:t xml:space="preserve">).</w:t>
      </w:r>
    </w:p>
    <w:p>
      <w:pPr>
        <w:pStyle w:val="BodyText"/>
      </w:pPr>
      <w:r>
        <w:t xml:space="preserve">CYP2E1 half-life of 50 h in the liver (</w:t>
      </w:r>
      <w:hyperlink w:anchor="Xa559bd5247f9128e74e6edcc17de37648e8cde6">
        <w:r>
          <w:rPr>
            <w:rStyle w:val="Hyperlink"/>
          </w:rPr>
          <w:t xml:space="preserve">Emery 1999</w:t>
        </w:r>
      </w:hyperlink>
      <w:r>
        <w:t xml:space="preserve">,</w:t>
      </w:r>
      <w:r>
        <w:t xml:space="preserve"> </w:t>
      </w:r>
      <w:hyperlink w:anchor="Xa559bd5247f9128e74e6edcc17de37648e8cde6">
        <w:r>
          <w:rPr>
            <w:rStyle w:val="Hyperlink"/>
          </w:rPr>
          <w:t xml:space="preserve">PK-Sim Ontogeny Database Version 7.3</w:t>
        </w:r>
      </w:hyperlink>
      <w:r>
        <w:t xml:space="preserve">) and of 23 h in the intestine (assuming that the turnover here rather reflects enterocytic turnover than protein turnover) (</w:t>
      </w:r>
      <w:hyperlink w:anchor="Xa559bd5247f9128e74e6edcc17de37648e8cde6">
        <w:r>
          <w:rPr>
            <w:rStyle w:val="Hyperlink"/>
          </w:rPr>
          <w:t xml:space="preserve">Greenblatt 2003</w:t>
        </w:r>
      </w:hyperlink>
      <w:r>
        <w:t xml:space="preserve">,</w:t>
      </w:r>
      <w:r>
        <w:t xml:space="preserve"> </w:t>
      </w:r>
      <w:hyperlink w:anchor="Xa559bd5247f9128e74e6edcc17de37648e8cde6">
        <w:r>
          <w:rPr>
            <w:rStyle w:val="Hyperlink"/>
          </w:rPr>
          <w:t xml:space="preserve">PK-Sim Ontogeny Database Version 7.3</w:t>
        </w:r>
      </w:hyperlink>
      <w:r>
        <w:t xml:space="preserve">) were incorporated.</w:t>
      </w:r>
    </w:p>
    <w:bookmarkEnd w:id="36"/>
    <w:bookmarkStart w:id="37" w:name="p-gp-induction-and-inhibition"/>
    <w:p>
      <w:pPr>
        <w:pStyle w:val="Heading4"/>
      </w:pPr>
      <w:r>
        <w:t xml:space="preserve">P-gp induction and inhibition</w:t>
      </w:r>
    </w:p>
    <w:p>
      <w:pPr>
        <w:pStyle w:val="FirstParagraph"/>
      </w:pPr>
      <w:r>
        <w:t xml:space="preserve">P-gp induction is described above.</w:t>
      </w:r>
    </w:p>
    <w:p>
      <w:pPr>
        <w:pStyle w:val="BodyText"/>
      </w:pPr>
      <w:r>
        <w:t xml:space="preserve">An</w:t>
      </w:r>
      <w:r>
        <w:t xml:space="preserve"> </w:t>
      </w:r>
      <w:r>
        <w:rPr>
          <w:iCs/>
          <w:i/>
        </w:rPr>
        <w:t xml:space="preserve">in vitro</w:t>
      </w:r>
      <w:r>
        <w:t xml:space="preserve"> </w:t>
      </w:r>
      <w:r>
        <w:t xml:space="preserve">determined K</w:t>
      </w:r>
      <w:r>
        <w:rPr>
          <w:vertAlign w:val="subscript"/>
        </w:rPr>
        <w:t xml:space="preserve">i</w:t>
      </w:r>
      <w:r>
        <w:t xml:space="preserve"> </w:t>
      </w:r>
      <w:r>
        <w:t xml:space="preserve">value for rifampicin (</w:t>
      </w:r>
      <w:hyperlink w:anchor="Xa559bd5247f9128e74e6edcc17de37648e8cde6">
        <w:r>
          <w:rPr>
            <w:rStyle w:val="Hyperlink"/>
          </w:rPr>
          <w:t xml:space="preserve">Reitman 2011</w:t>
        </w:r>
      </w:hyperlink>
      <w:r>
        <w:t xml:space="preserve">) was updated by</w:t>
      </w:r>
      <w:r>
        <w:t xml:space="preserve"> </w:t>
      </w:r>
      <w:hyperlink w:anchor="Xa559bd5247f9128e74e6edcc17de37648e8cde6">
        <w:r>
          <w:rPr>
            <w:rStyle w:val="Hyperlink"/>
          </w:rPr>
          <w:t xml:space="preserve">Hanke 2021</w:t>
        </w:r>
      </w:hyperlink>
      <w:r>
        <w:t xml:space="preserve"> </w:t>
      </w:r>
      <w:r>
        <w:t xml:space="preserve">and served as model input (see</w:t>
      </w:r>
      <w:r>
        <w:t xml:space="preserve"> </w:t>
      </w:r>
      <w:hyperlink w:anchor="X873f1d933aeea7d4aa146491e21cc3be56dfc99">
        <w:r>
          <w:rPr>
            <w:rStyle w:val="Hyperlink"/>
          </w:rPr>
          <w:t xml:space="preserve">Section 2.2.1</w:t>
        </w:r>
      </w:hyperlink>
      <w:r>
        <w:t xml:space="preserve">).</w:t>
      </w:r>
    </w:p>
    <w:bookmarkEnd w:id="37"/>
    <w:bookmarkStart w:id="38" w:name="bcrp-inhibition"/>
    <w:p>
      <w:pPr>
        <w:pStyle w:val="Heading4"/>
      </w:pPr>
      <w:r>
        <w:t xml:space="preserve">BCRP inhibition</w:t>
      </w:r>
    </w:p>
    <w:p>
      <w:pPr>
        <w:pStyle w:val="FirstParagraph"/>
      </w:pPr>
      <w:r>
        <w:t xml:space="preserve">Competitive inhibition of CYP2C9 by rifampicin was included using a dissociation (inhibition) constant (</w:t>
      </w:r>
      <w:r>
        <w:rPr>
          <w:bCs/>
          <w:b/>
        </w:rPr>
        <w:t xml:space="preserve">K</w:t>
      </w:r>
      <w:r>
        <w:rPr>
          <w:vertAlign w:val="subscript"/>
          <w:bCs/>
          <w:b/>
        </w:rPr>
        <w:t xml:space="preserve">i</w:t>
      </w:r>
      <w:r>
        <w:t xml:space="preserve">) of 14 µmol/L (</w:t>
      </w:r>
      <w:hyperlink w:anchor="Xa559bd5247f9128e74e6edcc17de37648e8cde6">
        <w:r>
          <w:rPr>
            <w:rStyle w:val="Hyperlink"/>
          </w:rPr>
          <w:t xml:space="preserve">Prueksaritanont 2014</w:t>
        </w:r>
      </w:hyperlink>
      <w:r>
        <w:t xml:space="preserve">,</w:t>
      </w:r>
      <w:r>
        <w:t xml:space="preserve"> </w:t>
      </w:r>
      <w:hyperlink w:anchor="Xa559bd5247f9128e74e6edcc17de37648e8cde6">
        <w:r>
          <w:rPr>
            <w:rStyle w:val="Hyperlink"/>
          </w:rPr>
          <w:t xml:space="preserve">Hanke 2021</w:t>
        </w:r>
      </w:hyperlink>
      <w:r>
        <w:t xml:space="preserve">).</w:t>
      </w:r>
    </w:p>
    <w:bookmarkEnd w:id="38"/>
    <w:bookmarkStart w:id="39" w:name="oatp1b1-induction-and-inhibition"/>
    <w:p>
      <w:pPr>
        <w:pStyle w:val="Heading4"/>
      </w:pPr>
      <w:r>
        <w:t xml:space="preserve">OATP1B1 induction and inhibition</w:t>
      </w:r>
    </w:p>
    <w:p>
      <w:pPr>
        <w:pStyle w:val="FirstParagraph"/>
      </w:pPr>
      <w:r>
        <w:t xml:space="preserve">OATP1B1 induction is described above.</w:t>
      </w:r>
    </w:p>
    <w:p>
      <w:pPr>
        <w:pStyle w:val="BodyText"/>
      </w:pPr>
      <w:r>
        <w:t xml:space="preserve">An</w:t>
      </w:r>
      <w:r>
        <w:t xml:space="preserve"> </w:t>
      </w:r>
      <w:r>
        <w:rPr>
          <w:iCs/>
          <w:i/>
        </w:rPr>
        <w:t xml:space="preserve">in vitro</w:t>
      </w:r>
      <w:r>
        <w:t xml:space="preserve"> </w:t>
      </w:r>
      <w:r>
        <w:t xml:space="preserve">determined K</w:t>
      </w:r>
      <w:r>
        <w:rPr>
          <w:vertAlign w:val="subscript"/>
        </w:rPr>
        <w:t xml:space="preserve">i</w:t>
      </w:r>
      <w:r>
        <w:t xml:space="preserve"> </w:t>
      </w:r>
      <w:r>
        <w:t xml:space="preserve">value for rifampicin (</w:t>
      </w:r>
      <w:hyperlink w:anchor="Xa559bd5247f9128e74e6edcc17de37648e8cde6">
        <w:r>
          <w:rPr>
            <w:rStyle w:val="Hyperlink"/>
          </w:rPr>
          <w:t xml:space="preserve">Hirano 2006</w:t>
        </w:r>
      </w:hyperlink>
      <w:r>
        <w:t xml:space="preserve">) was updated by</w:t>
      </w:r>
      <w:r>
        <w:t xml:space="preserve"> </w:t>
      </w:r>
      <w:hyperlink w:anchor="Xa559bd5247f9128e74e6edcc17de37648e8cde6">
        <w:r>
          <w:rPr>
            <w:rStyle w:val="Hyperlink"/>
          </w:rPr>
          <w:t xml:space="preserve">Hanke 2021</w:t>
        </w:r>
      </w:hyperlink>
      <w:r>
        <w:t xml:space="preserve"> </w:t>
      </w:r>
      <w:r>
        <w:t xml:space="preserve">and served as model input (see</w:t>
      </w:r>
      <w:r>
        <w:t xml:space="preserve"> </w:t>
      </w:r>
      <w:hyperlink w:anchor="X873f1d933aeea7d4aa146491e21cc3be56dfc99">
        <w:r>
          <w:rPr>
            <w:rStyle w:val="Hyperlink"/>
          </w:rPr>
          <w:t xml:space="preserve">Section 2.2.1</w:t>
        </w:r>
      </w:hyperlink>
      <w:r>
        <w:t xml:space="preserve">).</w:t>
      </w:r>
    </w:p>
    <w:bookmarkEnd w:id="39"/>
    <w:bookmarkStart w:id="40" w:name="oatp1b3-induction-and-inhibition"/>
    <w:p>
      <w:pPr>
        <w:pStyle w:val="Heading4"/>
      </w:pPr>
      <w:r>
        <w:t xml:space="preserve">OATP1B3 induction and inhibition</w:t>
      </w:r>
    </w:p>
    <w:p>
      <w:pPr>
        <w:pStyle w:val="FirstParagraph"/>
      </w:pPr>
      <w:r>
        <w:t xml:space="preserve">The same parameters as for OATP1B1 induction were assumed.</w:t>
      </w:r>
    </w:p>
    <w:p>
      <w:pPr>
        <w:pStyle w:val="BodyText"/>
      </w:pPr>
      <w:r>
        <w:t xml:space="preserve">An</w:t>
      </w:r>
      <w:r>
        <w:t xml:space="preserve"> </w:t>
      </w:r>
      <w:r>
        <w:rPr>
          <w:iCs/>
          <w:i/>
        </w:rPr>
        <w:t xml:space="preserve">in vitro</w:t>
      </w:r>
      <w:r>
        <w:t xml:space="preserve"> </w:t>
      </w:r>
      <w:r>
        <w:t xml:space="preserve">determined K</w:t>
      </w:r>
      <w:r>
        <w:rPr>
          <w:vertAlign w:val="subscript"/>
        </w:rPr>
        <w:t xml:space="preserve">i</w:t>
      </w:r>
      <w:r>
        <w:t xml:space="preserve"> </w:t>
      </w:r>
      <w:r>
        <w:t xml:space="preserve">value for rifampicin (</w:t>
      </w:r>
      <w:hyperlink w:anchor="Xa559bd5247f9128e74e6edcc17de37648e8cde6">
        <w:r>
          <w:rPr>
            <w:rStyle w:val="Hyperlink"/>
          </w:rPr>
          <w:t xml:space="preserve">Annaert 2010</w:t>
        </w:r>
      </w:hyperlink>
      <w:r>
        <w:t xml:space="preserve">) was updated by</w:t>
      </w:r>
      <w:r>
        <w:t xml:space="preserve"> </w:t>
      </w:r>
      <w:hyperlink w:anchor="Xa559bd5247f9128e74e6edcc17de37648e8cde6">
        <w:r>
          <w:rPr>
            <w:rStyle w:val="Hyperlink"/>
          </w:rPr>
          <w:t xml:space="preserve">Hanke 2021</w:t>
        </w:r>
      </w:hyperlink>
      <w:r>
        <w:t xml:space="preserve"> </w:t>
      </w:r>
      <w:r>
        <w:t xml:space="preserve">and served as model input (see</w:t>
      </w:r>
      <w:r>
        <w:t xml:space="preserve"> </w:t>
      </w:r>
      <w:hyperlink w:anchor="X873f1d933aeea7d4aa146491e21cc3be56dfc99">
        <w:r>
          <w:rPr>
            <w:rStyle w:val="Hyperlink"/>
          </w:rPr>
          <w:t xml:space="preserve">Section 2.2.1</w:t>
        </w:r>
      </w:hyperlink>
      <w:r>
        <w:t xml:space="preserve">).</w:t>
      </w:r>
    </w:p>
    <w:bookmarkEnd w:id="40"/>
    <w:bookmarkStart w:id="41" w:name="oatp2b1-inhibition"/>
    <w:p>
      <w:pPr>
        <w:pStyle w:val="Heading4"/>
      </w:pPr>
      <w:r>
        <w:t xml:space="preserve">OATP2B1 inhibition</w:t>
      </w:r>
    </w:p>
    <w:p>
      <w:pPr>
        <w:pStyle w:val="FirstParagraph"/>
      </w:pPr>
      <w:r>
        <w:t xml:space="preserve">Competitive inhibition of CYP2C9 by rifampicin was included using a dissociation (inhibition) constant (</w:t>
      </w:r>
      <w:r>
        <w:rPr>
          <w:bCs/>
          <w:b/>
        </w:rPr>
        <w:t xml:space="preserve">K</w:t>
      </w:r>
      <w:r>
        <w:rPr>
          <w:vertAlign w:val="subscript"/>
          <w:bCs/>
          <w:b/>
        </w:rPr>
        <w:t xml:space="preserve">i</w:t>
      </w:r>
      <w:r>
        <w:t xml:space="preserve">) of 78.2 µmol/L (</w:t>
      </w:r>
      <w:hyperlink w:anchor="Xa559bd5247f9128e74e6edcc17de37648e8cde6">
        <w:r>
          <w:rPr>
            <w:rStyle w:val="Hyperlink"/>
          </w:rPr>
          <w:t xml:space="preserve">Zhang 2019</w:t>
        </w:r>
      </w:hyperlink>
      <w:r>
        <w:t xml:space="preserve">,</w:t>
      </w:r>
      <w:r>
        <w:t xml:space="preserve"> </w:t>
      </w:r>
      <w:hyperlink w:anchor="Xa559bd5247f9128e74e6edcc17de37648e8cde6">
        <w:r>
          <w:rPr>
            <w:rStyle w:val="Hyperlink"/>
          </w:rPr>
          <w:t xml:space="preserve">Hanke 2021</w:t>
        </w:r>
      </w:hyperlink>
      <w:r>
        <w:t xml:space="preserve">).</w:t>
      </w:r>
    </w:p>
    <w:bookmarkEnd w:id="41"/>
    <w:bookmarkStart w:id="42" w:name="summary-ddi-parameters"/>
    <w:p>
      <w:pPr>
        <w:pStyle w:val="Heading4"/>
      </w:pPr>
      <w:r>
        <w:t xml:space="preserve">Summary DDI Parameters</w:t>
      </w:r>
    </w:p>
    <w:tbl>
      <w:tblPr>
        <w:tblStyle w:val="Table"/>
        <w:tblW w:type="pct" w:w="5000"/>
        <w:tblLook w:firstRow="1" w:lastRow="0" w:firstColumn="0" w:lastColumn="0" w:noHBand="0" w:noVBand="0" w:val="0020"/>
        <w:jc w:val="start"/>
      </w:tblPr>
      <w:tblGrid>
        <w:gridCol w:w="328"/>
        <w:gridCol w:w="1265"/>
        <w:gridCol w:w="2436"/>
        <w:gridCol w:w="1452"/>
        <w:gridCol w:w="1124"/>
        <w:gridCol w:w="1312"/>
      </w:tblGrid>
      <w:tr>
        <w:trPr>
          <w:tblHeader w:val="true"/>
        </w:trPr>
        <w:tc>
          <w:tcPr/>
          <w:p>
            <w:pPr>
              <w:pStyle w:val="Compact"/>
              <w:jc w:val="left"/>
            </w:pPr>
            <w:r>
              <w:t xml:space="preserve">Protein</w:t>
            </w:r>
          </w:p>
        </w:tc>
        <w:tc>
          <w:tcPr/>
          <w:p>
            <w:pPr>
              <w:pStyle w:val="Compact"/>
              <w:jc w:val="left"/>
            </w:pPr>
            <w:r>
              <w:t xml:space="preserve">K</w:t>
            </w:r>
            <w:r>
              <w:rPr>
                <w:vertAlign w:val="subscript"/>
              </w:rPr>
              <w:t xml:space="preserve">i</w:t>
            </w:r>
            <w:r>
              <w:t xml:space="preserve">[µmol/L]</w:t>
            </w:r>
          </w:p>
        </w:tc>
        <w:tc>
          <w:tcPr/>
          <w:p>
            <w:pPr>
              <w:pStyle w:val="Compact"/>
              <w:jc w:val="left"/>
            </w:pPr>
            <w:r>
              <w:t xml:space="preserve">E</w:t>
            </w:r>
            <w:r>
              <w:rPr>
                <w:vertAlign w:val="subscript"/>
              </w:rPr>
              <w:t xml:space="preserve">max</w:t>
            </w:r>
          </w:p>
        </w:tc>
        <w:tc>
          <w:tcPr/>
          <w:p>
            <w:pPr>
              <w:pStyle w:val="Compact"/>
              <w:jc w:val="left"/>
            </w:pPr>
            <w:r>
              <w:t xml:space="preserve">EC</w:t>
            </w:r>
            <w:r>
              <w:rPr>
                <w:vertAlign w:val="subscript"/>
              </w:rPr>
              <w:t xml:space="preserve">50,u</w:t>
            </w:r>
            <w:r>
              <w:t xml:space="preserve">[µmol/L]</w:t>
            </w:r>
          </w:p>
        </w:tc>
        <w:tc>
          <w:tcPr/>
          <w:p>
            <w:pPr>
              <w:pStyle w:val="Compact"/>
              <w:jc w:val="left"/>
            </w:pPr>
            <w:r>
              <w:t xml:space="preserve">Half-life</w:t>
            </w:r>
            <w:r>
              <w:t xml:space="preserve">liver [h]</w:t>
            </w:r>
          </w:p>
        </w:tc>
        <w:tc>
          <w:tcPr/>
          <w:p>
            <w:pPr>
              <w:pStyle w:val="Compact"/>
              <w:jc w:val="left"/>
            </w:pPr>
            <w:r>
              <w:t xml:space="preserve">Half-life</w:t>
            </w:r>
            <w:r>
              <w:t xml:space="preserve">intestine [h]</w:t>
            </w:r>
          </w:p>
        </w:tc>
      </w:tr>
      <w:tr>
        <w:tc>
          <w:tcPr/>
          <w:p>
            <w:pPr>
              <w:pStyle w:val="Compact"/>
              <w:jc w:val="left"/>
            </w:pPr>
            <w:r>
              <w:t xml:space="preserve">CYP1A2</w:t>
            </w:r>
          </w:p>
        </w:tc>
        <w:tc>
          <w:tcPr/>
          <w:p>
            <w:pPr>
              <w:pStyle w:val="Compact"/>
              <w:jc w:val="left"/>
            </w:pPr>
            <w:r>
              <w:t xml:space="preserve">-</w:t>
            </w:r>
          </w:p>
        </w:tc>
        <w:tc>
          <w:tcPr/>
          <w:p>
            <w:pPr>
              <w:pStyle w:val="Compact"/>
              <w:jc w:val="left"/>
            </w:pPr>
            <w:r>
              <w:t xml:space="preserve">0.65</w:t>
            </w:r>
          </w:p>
        </w:tc>
        <w:tc>
          <w:tcPr/>
          <w:p>
            <w:pPr>
              <w:pStyle w:val="Compact"/>
              <w:jc w:val="left"/>
            </w:pPr>
            <w:r>
              <w:t xml:space="preserve">0.34</w:t>
            </w:r>
          </w:p>
        </w:tc>
        <w:tc>
          <w:tcPr/>
          <w:p>
            <w:pPr>
              <w:pStyle w:val="Compact"/>
              <w:jc w:val="left"/>
            </w:pPr>
            <w:r>
              <w:t xml:space="preserve">39</w:t>
            </w:r>
          </w:p>
        </w:tc>
        <w:tc>
          <w:tcPr/>
          <w:p>
            <w:pPr>
              <w:pStyle w:val="Compact"/>
              <w:jc w:val="left"/>
            </w:pPr>
            <w:r>
              <w:t xml:space="preserve">23 (assumed)</w:t>
            </w:r>
          </w:p>
        </w:tc>
      </w:tr>
      <w:tr>
        <w:tc>
          <w:tcPr/>
          <w:p>
            <w:pPr>
              <w:pStyle w:val="Compact"/>
              <w:jc w:val="left"/>
            </w:pPr>
            <w:r>
              <w:t xml:space="preserve">CYP2C8</w:t>
            </w:r>
          </w:p>
        </w:tc>
        <w:tc>
          <w:tcPr/>
          <w:p>
            <w:pPr>
              <w:pStyle w:val="Compact"/>
              <w:jc w:val="left"/>
            </w:pPr>
            <w:r>
              <w:t xml:space="preserve">30.2</w:t>
            </w:r>
          </w:p>
        </w:tc>
        <w:tc>
          <w:tcPr/>
          <w:p>
            <w:pPr>
              <w:pStyle w:val="Compact"/>
              <w:jc w:val="left"/>
            </w:pPr>
            <w:r>
              <w:t xml:space="preserve">3.2</w:t>
            </w:r>
          </w:p>
        </w:tc>
        <w:tc>
          <w:tcPr/>
          <w:p>
            <w:pPr>
              <w:pStyle w:val="Compact"/>
              <w:jc w:val="left"/>
            </w:pPr>
            <w:r>
              <w:t xml:space="preserve">0.34</w:t>
            </w:r>
          </w:p>
        </w:tc>
        <w:tc>
          <w:tcPr/>
          <w:p>
            <w:pPr>
              <w:pStyle w:val="Compact"/>
              <w:jc w:val="left"/>
            </w:pPr>
            <w:r>
              <w:t xml:space="preserve">23</w:t>
            </w:r>
          </w:p>
        </w:tc>
        <w:tc>
          <w:tcPr/>
          <w:p>
            <w:pPr>
              <w:pStyle w:val="Compact"/>
              <w:jc w:val="left"/>
            </w:pPr>
            <w:r>
              <w:t xml:space="preserve">23 (assumed)</w:t>
            </w:r>
          </w:p>
        </w:tc>
      </w:tr>
      <w:tr>
        <w:tc>
          <w:tcPr/>
          <w:p>
            <w:pPr>
              <w:pStyle w:val="Compact"/>
              <w:jc w:val="left"/>
            </w:pPr>
            <w:r>
              <w:t xml:space="preserve">CYP2C9</w:t>
            </w:r>
          </w:p>
        </w:tc>
        <w:tc>
          <w:tcPr/>
          <w:p>
            <w:pPr>
              <w:pStyle w:val="Compact"/>
              <w:jc w:val="left"/>
            </w:pPr>
            <w:r>
              <w:t xml:space="preserve">150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CYP2E1</w:t>
            </w:r>
          </w:p>
        </w:tc>
        <w:tc>
          <w:tcPr/>
          <w:p>
            <w:pPr>
              <w:pStyle w:val="Compact"/>
              <w:jc w:val="left"/>
            </w:pPr>
            <w:r>
              <w:t xml:space="preserve">-</w:t>
            </w:r>
          </w:p>
        </w:tc>
        <w:tc>
          <w:tcPr/>
          <w:p>
            <w:pPr>
              <w:pStyle w:val="Compact"/>
              <w:jc w:val="left"/>
            </w:pPr>
            <w:r>
              <w:t xml:space="preserve">0.8</w:t>
            </w:r>
          </w:p>
        </w:tc>
        <w:tc>
          <w:tcPr/>
          <w:p>
            <w:pPr>
              <w:pStyle w:val="Compact"/>
              <w:jc w:val="left"/>
            </w:pPr>
            <w:r>
              <w:t xml:space="preserve">0.34</w:t>
            </w:r>
          </w:p>
        </w:tc>
        <w:tc>
          <w:tcPr/>
          <w:p>
            <w:pPr>
              <w:pStyle w:val="Compact"/>
              <w:jc w:val="left"/>
            </w:pPr>
            <w:r>
              <w:t xml:space="preserve">50</w:t>
            </w:r>
          </w:p>
        </w:tc>
        <w:tc>
          <w:tcPr/>
          <w:p>
            <w:pPr>
              <w:pStyle w:val="Compact"/>
              <w:jc w:val="left"/>
            </w:pPr>
            <w:r>
              <w:t xml:space="preserve">23 (assumed)</w:t>
            </w:r>
          </w:p>
        </w:tc>
      </w:tr>
      <w:tr>
        <w:tc>
          <w:tcPr/>
          <w:p>
            <w:pPr>
              <w:pStyle w:val="Compact"/>
              <w:jc w:val="left"/>
            </w:pPr>
            <w:r>
              <w:t xml:space="preserve">CYP3A4</w:t>
            </w:r>
          </w:p>
        </w:tc>
        <w:tc>
          <w:tcPr/>
          <w:p>
            <w:pPr>
              <w:pStyle w:val="Compact"/>
              <w:jc w:val="left"/>
            </w:pPr>
            <w:r>
              <w:t xml:space="preserve">18.5</w:t>
            </w:r>
          </w:p>
        </w:tc>
        <w:tc>
          <w:tcPr/>
          <w:p>
            <w:pPr>
              <w:pStyle w:val="Compact"/>
              <w:jc w:val="left"/>
            </w:pPr>
            <w:r>
              <w:t xml:space="preserve">9</w:t>
            </w:r>
          </w:p>
        </w:tc>
        <w:tc>
          <w:tcPr/>
          <w:p>
            <w:pPr>
              <w:pStyle w:val="Compact"/>
              <w:jc w:val="left"/>
            </w:pPr>
            <w:r>
              <w:t xml:space="preserve">0.34</w:t>
            </w:r>
          </w:p>
        </w:tc>
        <w:tc>
          <w:tcPr/>
          <w:p>
            <w:pPr>
              <w:pStyle w:val="Compact"/>
              <w:jc w:val="left"/>
            </w:pPr>
            <w:r>
              <w:t xml:space="preserve">36</w:t>
            </w:r>
          </w:p>
        </w:tc>
        <w:tc>
          <w:tcPr/>
          <w:p>
            <w:pPr>
              <w:pStyle w:val="Compact"/>
              <w:jc w:val="left"/>
            </w:pPr>
            <w:r>
              <w:t xml:space="preserve">23</w:t>
            </w:r>
          </w:p>
        </w:tc>
      </w:tr>
      <w:tr>
        <w:tc>
          <w:tcPr/>
          <w:p>
            <w:pPr>
              <w:pStyle w:val="Compact"/>
              <w:jc w:val="left"/>
            </w:pPr>
            <w:r>
              <w:t xml:space="preserve">AADAC</w:t>
            </w:r>
          </w:p>
        </w:tc>
        <w:tc>
          <w:tcPr/>
          <w:p>
            <w:pPr>
              <w:pStyle w:val="Compact"/>
              <w:jc w:val="left"/>
            </w:pPr>
            <w:r>
              <w:t xml:space="preserve">-</w:t>
            </w:r>
          </w:p>
        </w:tc>
        <w:tc>
          <w:tcPr/>
          <w:p>
            <w:pPr>
              <w:pStyle w:val="Compact"/>
              <w:jc w:val="left"/>
            </w:pPr>
            <w:hyperlink w:anchor="X05e2fd9d2318e5c56a9c57cdc7e48acff331d27">
              <w:r>
                <w:rPr>
                  <w:rStyle w:val="Hyperlink"/>
                </w:rPr>
                <w:t xml:space="preserve">optimized</w:t>
              </w:r>
            </w:hyperlink>
          </w:p>
        </w:tc>
        <w:tc>
          <w:tcPr/>
          <w:p>
            <w:pPr>
              <w:pStyle w:val="Compact"/>
              <w:jc w:val="left"/>
            </w:pPr>
            <w:r>
              <w:t xml:space="preserve">0.34</w:t>
            </w:r>
          </w:p>
        </w:tc>
        <w:tc>
          <w:tcPr/>
          <w:p>
            <w:pPr>
              <w:pStyle w:val="Compact"/>
              <w:jc w:val="left"/>
            </w:pPr>
            <w:r>
              <w:t xml:space="preserve">36 (assumed)</w:t>
            </w:r>
          </w:p>
        </w:tc>
        <w:tc>
          <w:tcPr/>
          <w:p>
            <w:pPr>
              <w:pStyle w:val="Compact"/>
              <w:jc w:val="left"/>
            </w:pPr>
            <w:r>
              <w:t xml:space="preserve">23 (assumed)</w:t>
            </w:r>
          </w:p>
        </w:tc>
      </w:tr>
      <w:tr>
        <w:tc>
          <w:tcPr/>
          <w:p>
            <w:pPr>
              <w:pStyle w:val="Compact"/>
              <w:jc w:val="left"/>
            </w:pPr>
            <w:r>
              <w:t xml:space="preserve">P-gp</w:t>
            </w:r>
          </w:p>
        </w:tc>
        <w:tc>
          <w:tcPr/>
          <w:p>
            <w:pPr>
              <w:pStyle w:val="Compact"/>
              <w:jc w:val="left"/>
            </w:pPr>
            <w:r>
              <w:t xml:space="preserve">9.1</w:t>
            </w:r>
          </w:p>
        </w:tc>
        <w:tc>
          <w:tcPr/>
          <w:p>
            <w:pPr>
              <w:pStyle w:val="Compact"/>
              <w:jc w:val="left"/>
            </w:pPr>
            <w:hyperlink w:anchor="X05e2fd9d2318e5c56a9c57cdc7e48acff331d27">
              <w:r>
                <w:rPr>
                  <w:rStyle w:val="Hyperlink"/>
                </w:rPr>
                <w:t xml:space="preserve">optimized</w:t>
              </w:r>
            </w:hyperlink>
          </w:p>
        </w:tc>
        <w:tc>
          <w:tcPr/>
          <w:p>
            <w:pPr>
              <w:pStyle w:val="Compact"/>
              <w:jc w:val="left"/>
            </w:pPr>
            <w:r>
              <w:t xml:space="preserve">0.34</w:t>
            </w:r>
          </w:p>
        </w:tc>
        <w:tc>
          <w:tcPr/>
          <w:p>
            <w:pPr>
              <w:pStyle w:val="Compact"/>
              <w:jc w:val="left"/>
            </w:pPr>
            <w:r>
              <w:t xml:space="preserve">36 (assumed)</w:t>
            </w:r>
          </w:p>
        </w:tc>
        <w:tc>
          <w:tcPr/>
          <w:p>
            <w:pPr>
              <w:pStyle w:val="Compact"/>
              <w:jc w:val="left"/>
            </w:pPr>
            <w:r>
              <w:t xml:space="preserve">23 (assumed)</w:t>
            </w:r>
          </w:p>
        </w:tc>
      </w:tr>
      <w:tr>
        <w:tc>
          <w:tcPr/>
          <w:p>
            <w:pPr>
              <w:pStyle w:val="Compact"/>
              <w:jc w:val="left"/>
            </w:pPr>
            <w:r>
              <w:t xml:space="preserve">BCRP</w:t>
            </w:r>
          </w:p>
        </w:tc>
        <w:tc>
          <w:tcPr/>
          <w:p>
            <w:pPr>
              <w:pStyle w:val="Compact"/>
              <w:jc w:val="left"/>
            </w:pPr>
            <w:r>
              <w:t xml:space="preserve">14</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OATP1B1</w:t>
            </w:r>
          </w:p>
        </w:tc>
        <w:tc>
          <w:tcPr/>
          <w:p>
            <w:pPr>
              <w:pStyle w:val="Compact"/>
              <w:jc w:val="left"/>
            </w:pPr>
            <w:r>
              <w:t xml:space="preserve">0.477</w:t>
            </w:r>
          </w:p>
        </w:tc>
        <w:tc>
          <w:tcPr/>
          <w:p>
            <w:pPr>
              <w:pStyle w:val="Compact"/>
              <w:jc w:val="left"/>
            </w:pPr>
            <w:hyperlink w:anchor="X05e2fd9d2318e5c56a9c57cdc7e48acff331d27">
              <w:r>
                <w:rPr>
                  <w:rStyle w:val="Hyperlink"/>
                </w:rPr>
                <w:t xml:space="preserve">optimized</w:t>
              </w:r>
            </w:hyperlink>
          </w:p>
        </w:tc>
        <w:tc>
          <w:tcPr/>
          <w:p>
            <w:pPr>
              <w:pStyle w:val="Compact"/>
              <w:jc w:val="left"/>
            </w:pPr>
            <w:r>
              <w:t xml:space="preserve">0.34</w:t>
            </w:r>
          </w:p>
        </w:tc>
        <w:tc>
          <w:tcPr/>
          <w:p>
            <w:pPr>
              <w:pStyle w:val="Compact"/>
              <w:jc w:val="left"/>
            </w:pPr>
            <w:r>
              <w:t xml:space="preserve">36 (assumed)</w:t>
            </w:r>
          </w:p>
        </w:tc>
        <w:tc>
          <w:tcPr/>
          <w:p>
            <w:pPr>
              <w:pStyle w:val="Compact"/>
              <w:jc w:val="left"/>
            </w:pPr>
            <w:r>
              <w:t xml:space="preserve">23 (assumed)</w:t>
            </w:r>
          </w:p>
        </w:tc>
      </w:tr>
      <w:tr>
        <w:tc>
          <w:tcPr/>
          <w:p>
            <w:pPr>
              <w:pStyle w:val="Compact"/>
              <w:jc w:val="left"/>
            </w:pPr>
            <w:r>
              <w:t xml:space="preserve">OATP1B3</w:t>
            </w:r>
          </w:p>
        </w:tc>
        <w:tc>
          <w:tcPr/>
          <w:p>
            <w:pPr>
              <w:pStyle w:val="Compact"/>
              <w:jc w:val="left"/>
            </w:pPr>
            <w:r>
              <w:t xml:space="preserve">0.9</w:t>
            </w:r>
          </w:p>
        </w:tc>
        <w:tc>
          <w:tcPr/>
          <w:p>
            <w:pPr>
              <w:pStyle w:val="Compact"/>
              <w:jc w:val="left"/>
            </w:pPr>
            <w:r>
              <w:t xml:space="preserve">assumed to be equal to OATP1B1</w:t>
            </w:r>
          </w:p>
        </w:tc>
        <w:tc>
          <w:tcPr/>
          <w:p>
            <w:pPr>
              <w:pStyle w:val="Compact"/>
              <w:jc w:val="left"/>
            </w:pPr>
            <w:r>
              <w:t xml:space="preserve">0.34</w:t>
            </w:r>
          </w:p>
        </w:tc>
        <w:tc>
          <w:tcPr/>
          <w:p>
            <w:pPr>
              <w:pStyle w:val="Compact"/>
              <w:jc w:val="left"/>
            </w:pPr>
            <w:r>
              <w:t xml:space="preserve">36 (assumed)</w:t>
            </w:r>
          </w:p>
        </w:tc>
        <w:tc>
          <w:tcPr/>
          <w:p>
            <w:pPr>
              <w:pStyle w:val="Compact"/>
              <w:jc w:val="left"/>
            </w:pPr>
            <w:r>
              <w:t xml:space="preserve">23 (assumed)</w:t>
            </w:r>
          </w:p>
        </w:tc>
      </w:tr>
      <w:tr>
        <w:tc>
          <w:tcPr/>
          <w:p>
            <w:pPr>
              <w:pStyle w:val="Compact"/>
              <w:jc w:val="left"/>
            </w:pPr>
            <w:r>
              <w:t xml:space="preserve">OATP2B1</w:t>
            </w:r>
          </w:p>
        </w:tc>
        <w:tc>
          <w:tcPr/>
          <w:p>
            <w:pPr>
              <w:pStyle w:val="Compact"/>
              <w:jc w:val="left"/>
            </w:pPr>
            <w:r>
              <w:t xml:space="preserve">78.2</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bookmarkEnd w:id="42"/>
    <w:bookmarkEnd w:id="43"/>
    <w:bookmarkStart w:id="45" w:name="automated-parameter-identification"/>
    <w:p>
      <w:pPr>
        <w:pStyle w:val="Heading3"/>
      </w:pPr>
      <w:r>
        <w:t xml:space="preserve">2.3.5 Automated Parameter Identification</w:t>
      </w:r>
    </w:p>
    <w:p>
      <w:pPr>
        <w:pStyle w:val="FirstParagraph"/>
      </w:pPr>
      <w:r>
        <w:t xml:space="preserve">This is the result of the final parameter identification:</w:t>
      </w:r>
    </w:p>
    <w:tbl>
      <w:tblPr>
        <w:tblStyle w:val="Table"/>
        <w:tblW w:type="pct" w:w="5000"/>
        <w:tblLook w:firstRow="1" w:lastRow="0" w:firstColumn="0" w:lastColumn="0" w:noHBand="0" w:noVBand="0" w:val="0020"/>
        <w:jc w:val="start"/>
      </w:tblPr>
      <w:tblGrid>
        <w:gridCol w:w="3650"/>
        <w:gridCol w:w="3712"/>
        <w:gridCol w:w="556"/>
      </w:tblGrid>
      <w:tr>
        <w:trPr>
          <w:tblHeader w:val="true"/>
        </w:trPr>
        <w:tc>
          <w:tcPr/>
          <w:p>
            <w:pPr>
              <w:pStyle w:val="Compact"/>
              <w:jc w:val="left"/>
            </w:pPr>
            <w:r>
              <w:t xml:space="preserve">Model Parameter</w:t>
            </w:r>
          </w:p>
        </w:tc>
        <w:tc>
          <w:tcPr/>
          <w:p>
            <w:pPr>
              <w:pStyle w:val="Compact"/>
              <w:jc w:val="left"/>
            </w:pPr>
            <w:r>
              <w:t xml:space="preserve">Optimized Value</w:t>
            </w:r>
          </w:p>
        </w:tc>
        <w:tc>
          <w:tcPr/>
          <w:p>
            <w:pPr>
              <w:pStyle w:val="Compact"/>
              <w:jc w:val="left"/>
            </w:pPr>
            <w:r>
              <w:t xml:space="preserve">Unit</w:t>
            </w:r>
          </w:p>
        </w:tc>
      </w:tr>
      <w:tr>
        <w:tc>
          <w:tcPr/>
          <w:p>
            <w:pPr>
              <w:pStyle w:val="Compact"/>
              <w:jc w:val="left"/>
            </w:pPr>
            <w:r>
              <w:rPr>
                <w:rStyle w:val="VerbatimChar"/>
              </w:rPr>
              <w:t xml:space="preserve">Lipophilicity</w:t>
            </w:r>
          </w:p>
        </w:tc>
        <w:tc>
          <w:tcPr/>
          <w:p>
            <w:pPr>
              <w:pStyle w:val="Compact"/>
              <w:jc w:val="left"/>
            </w:pPr>
            <w:r>
              <w:t xml:space="preserve">2.5</w:t>
            </w:r>
          </w:p>
        </w:tc>
        <w:tc>
          <w:tcPr/>
          <w:p>
            <w:pPr>
              <w:pStyle w:val="Compact"/>
              <w:jc w:val="left"/>
            </w:pPr>
            <w:r>
              <w:t xml:space="preserve">Log Units</w:t>
            </w:r>
          </w:p>
        </w:tc>
      </w:tr>
      <w:tr>
        <w:tc>
          <w:tcPr/>
          <w:p>
            <w:pPr>
              <w:pStyle w:val="Compact"/>
              <w:jc w:val="left"/>
            </w:pPr>
            <w:r>
              <w:rPr>
                <w:rStyle w:val="VerbatimChar"/>
              </w:rPr>
              <w:t xml:space="preserve">Specific intestinal permeability</w:t>
            </w:r>
          </w:p>
        </w:tc>
        <w:tc>
          <w:tcPr/>
          <w:p>
            <w:pPr>
              <w:pStyle w:val="Compact"/>
              <w:jc w:val="left"/>
            </w:pPr>
            <w:r>
              <w:t xml:space="preserve">1.24E-05</w:t>
            </w:r>
          </w:p>
        </w:tc>
        <w:tc>
          <w:tcPr/>
          <w:p>
            <w:pPr>
              <w:pStyle w:val="Compact"/>
              <w:jc w:val="left"/>
            </w:pPr>
            <w:r>
              <w:t xml:space="preserve">cm/min</w:t>
            </w:r>
          </w:p>
        </w:tc>
      </w:tr>
      <w:tr>
        <w:tc>
          <w:tcPr/>
          <w:p>
            <w:pPr>
              <w:pStyle w:val="Compact"/>
              <w:jc w:val="left"/>
            </w:pPr>
            <w:r>
              <w:rPr>
                <w:rStyle w:val="VerbatimChar"/>
              </w:rPr>
              <w:t xml:space="preserve">Fraction unbound (plasma, reference value)</w:t>
            </w:r>
          </w:p>
        </w:tc>
        <w:tc>
          <w:tcPr/>
          <w:p>
            <w:pPr>
              <w:pStyle w:val="Compact"/>
              <w:jc w:val="left"/>
            </w:pPr>
            <w:r>
              <w:t xml:space="preserve">17 FIXED (see</w:t>
            </w:r>
            <w:r>
              <w:t xml:space="preserve"> </w:t>
            </w:r>
            <w:hyperlink w:anchor="X873f1d933aeea7d4aa146491e21cc3be56dfc99">
              <w:r>
                <w:rPr>
                  <w:rStyle w:val="Hyperlink"/>
                </w:rPr>
                <w:t xml:space="preserve">Section 2.2.1</w:t>
              </w:r>
            </w:hyperlink>
            <w:r>
              <w:t xml:space="preserve">)</w:t>
            </w:r>
          </w:p>
        </w:tc>
        <w:tc>
          <w:tcPr/>
          <w:p>
            <w:pPr>
              <w:pStyle w:val="Compact"/>
              <w:jc w:val="left"/>
            </w:pPr>
            <w:r>
              <w:t xml:space="preserve">%</w:t>
            </w:r>
          </w:p>
        </w:tc>
      </w:tr>
      <w:tr>
        <w:tc>
          <w:tcPr/>
          <w:p>
            <w:pPr>
              <w:pStyle w:val="Compact"/>
              <w:jc w:val="left"/>
            </w:pPr>
            <w:r>
              <w:rPr>
                <w:rStyle w:val="VerbatimChar"/>
              </w:rPr>
              <w:t xml:space="preserve">Solubility at reference pH</w:t>
            </w:r>
          </w:p>
        </w:tc>
        <w:tc>
          <w:tcPr/>
          <w:p>
            <w:pPr>
              <w:pStyle w:val="Compact"/>
              <w:jc w:val="left"/>
            </w:pPr>
            <w:r>
              <w:t xml:space="preserve">2800 FIXED (see</w:t>
            </w:r>
            <w:r>
              <w:t xml:space="preserve"> </w:t>
            </w:r>
            <w:hyperlink w:anchor="X873f1d933aeea7d4aa146491e21cc3be56dfc99">
              <w:r>
                <w:rPr>
                  <w:rStyle w:val="Hyperlink"/>
                </w:rPr>
                <w:t xml:space="preserve">Section 2.2.1</w:t>
              </w:r>
            </w:hyperlink>
            <w:r>
              <w:t xml:space="preserve">)</w:t>
            </w:r>
          </w:p>
        </w:tc>
        <w:tc>
          <w:tcPr/>
          <w:p>
            <w:pPr>
              <w:pStyle w:val="Compact"/>
              <w:jc w:val="left"/>
            </w:pPr>
            <w:r>
              <w:t xml:space="preserve">mg/L</w:t>
            </w:r>
          </w:p>
        </w:tc>
      </w:tr>
      <w:tr>
        <w:tc>
          <w:tcPr/>
          <w:p>
            <w:pPr>
              <w:pStyle w:val="Compact"/>
              <w:jc w:val="left"/>
            </w:pPr>
            <w:r>
              <w:rPr>
                <w:rStyle w:val="VerbatimChar"/>
              </w:rPr>
              <w:t xml:space="preserve">kcat</w:t>
            </w:r>
            <w:r>
              <w:t xml:space="preserve"> </w:t>
            </w:r>
            <w:r>
              <w:t xml:space="preserve">AADAC (with a reference concentration of 1 µmol/L)</w:t>
            </w:r>
          </w:p>
        </w:tc>
        <w:tc>
          <w:tcPr/>
          <w:p>
            <w:pPr>
              <w:pStyle w:val="Compact"/>
              <w:jc w:val="left"/>
            </w:pPr>
            <w:r>
              <w:t xml:space="preserve">9.865</w:t>
            </w:r>
          </w:p>
        </w:tc>
        <w:tc>
          <w:tcPr/>
          <w:p>
            <w:pPr>
              <w:pStyle w:val="Compact"/>
              <w:jc w:val="left"/>
            </w:pPr>
            <w:r>
              <w:t xml:space="preserve">1/min</w:t>
            </w:r>
          </w:p>
        </w:tc>
      </w:tr>
      <w:tr>
        <w:tc>
          <w:tcPr/>
          <w:p>
            <w:pPr>
              <w:pStyle w:val="Compact"/>
              <w:jc w:val="left"/>
            </w:pPr>
            <w:r>
              <w:rPr>
                <w:rStyle w:val="VerbatimChar"/>
              </w:rPr>
              <w:t xml:space="preserve">kcat</w:t>
            </w:r>
            <w:r>
              <w:t xml:space="preserve"> </w:t>
            </w:r>
            <w:r>
              <w:t xml:space="preserve">P-gp (with a reference concentration of 1.41 µmol/L)</w:t>
            </w:r>
          </w:p>
        </w:tc>
        <w:tc>
          <w:tcPr/>
          <w:p>
            <w:pPr>
              <w:pStyle w:val="Compact"/>
              <w:jc w:val="left"/>
            </w:pPr>
            <w:r>
              <w:t xml:space="preserve">0.6088</w:t>
            </w:r>
          </w:p>
        </w:tc>
        <w:tc>
          <w:tcPr/>
          <w:p>
            <w:pPr>
              <w:pStyle w:val="Compact"/>
              <w:jc w:val="left"/>
            </w:pPr>
            <w:r>
              <w:t xml:space="preserve">1/min</w:t>
            </w:r>
          </w:p>
        </w:tc>
      </w:tr>
      <w:tr>
        <w:tc>
          <w:tcPr/>
          <w:p>
            <w:pPr>
              <w:pStyle w:val="Compact"/>
              <w:jc w:val="left"/>
            </w:pPr>
            <w:r>
              <w:rPr>
                <w:rStyle w:val="VerbatimChar"/>
              </w:rPr>
              <w:t xml:space="preserve">kcat</w:t>
            </w:r>
            <w:r>
              <w:t xml:space="preserve"> </w:t>
            </w:r>
            <w:r>
              <w:t xml:space="preserve">OATP1B1 (with a reference concentration of 1 µmol/L)</w:t>
            </w:r>
          </w:p>
        </w:tc>
        <w:tc>
          <w:tcPr/>
          <w:p>
            <w:pPr>
              <w:pStyle w:val="Compact"/>
              <w:jc w:val="left"/>
            </w:pPr>
            <w:r>
              <w:t xml:space="preserve">7.796^*^</w:t>
            </w:r>
          </w:p>
        </w:tc>
        <w:tc>
          <w:tcPr/>
          <w:p>
            <w:pPr>
              <w:pStyle w:val="Compact"/>
              <w:jc w:val="left"/>
            </w:pPr>
            <w:r>
              <w:t xml:space="preserve">1/min</w:t>
            </w:r>
          </w:p>
        </w:tc>
      </w:tr>
      <w:tr>
        <w:tc>
          <w:tcPr/>
          <w:p>
            <w:pPr>
              <w:pStyle w:val="Compact"/>
              <w:jc w:val="left"/>
            </w:pPr>
            <w:r>
              <w:rPr>
                <w:rStyle w:val="VerbatimChar"/>
              </w:rPr>
              <w:t xml:space="preserve">Emax</w:t>
            </w:r>
            <w:r>
              <w:t xml:space="preserve"> </w:t>
            </w:r>
            <w:r>
              <w:t xml:space="preserve">AADAC</w:t>
            </w:r>
          </w:p>
        </w:tc>
        <w:tc>
          <w:tcPr/>
          <w:p>
            <w:pPr>
              <w:pStyle w:val="Compact"/>
              <w:jc w:val="left"/>
            </w:pPr>
            <w:r>
              <w:t xml:space="preserve">0.985</w:t>
            </w:r>
          </w:p>
        </w:tc>
        <w:tc>
          <w:tcPr/>
          <w:p>
            <w:pPr>
              <w:pStyle w:val="Compact"/>
            </w:pPr>
          </w:p>
        </w:tc>
      </w:tr>
      <w:tr>
        <w:tc>
          <w:tcPr/>
          <w:p>
            <w:pPr>
              <w:pStyle w:val="Compact"/>
              <w:jc w:val="left"/>
            </w:pPr>
            <w:r>
              <w:rPr>
                <w:rStyle w:val="VerbatimChar"/>
              </w:rPr>
              <w:t xml:space="preserve">Emax</w:t>
            </w:r>
            <w:r>
              <w:t xml:space="preserve"> </w:t>
            </w:r>
            <w:r>
              <w:t xml:space="preserve">P-gp</w:t>
            </w:r>
          </w:p>
        </w:tc>
        <w:tc>
          <w:tcPr/>
          <w:p>
            <w:pPr>
              <w:pStyle w:val="Compact"/>
              <w:jc w:val="left"/>
            </w:pPr>
            <w:r>
              <w:t xml:space="preserve">2.5 FIXED (see</w:t>
            </w:r>
            <w:r>
              <w:t xml:space="preserve"> </w:t>
            </w:r>
            <w:hyperlink w:anchor="X873f1d933aeea7d4aa146491e21cc3be56dfc99">
              <w:r>
                <w:rPr>
                  <w:rStyle w:val="Hyperlink"/>
                </w:rPr>
                <w:t xml:space="preserve">Section 2.2.1</w:t>
              </w:r>
            </w:hyperlink>
            <w:r>
              <w:t xml:space="preserve">)</w:t>
            </w:r>
          </w:p>
        </w:tc>
        <w:tc>
          <w:tcPr/>
          <w:p>
            <w:pPr>
              <w:pStyle w:val="Compact"/>
            </w:pPr>
          </w:p>
        </w:tc>
      </w:tr>
      <w:tr>
        <w:tc>
          <w:tcPr/>
          <w:p>
            <w:pPr>
              <w:pStyle w:val="Compact"/>
              <w:jc w:val="left"/>
            </w:pPr>
            <w:r>
              <w:rPr>
                <w:rStyle w:val="VerbatimChar"/>
              </w:rPr>
              <w:t xml:space="preserve">Emax</w:t>
            </w:r>
            <w:r>
              <w:t xml:space="preserve"> </w:t>
            </w:r>
            <w:r>
              <w:t xml:space="preserve">OATP1B1</w:t>
            </w:r>
          </w:p>
        </w:tc>
        <w:tc>
          <w:tcPr/>
          <w:p>
            <w:pPr>
              <w:pStyle w:val="Compact"/>
              <w:jc w:val="left"/>
            </w:pPr>
            <w:r>
              <w:t xml:space="preserve">0.383</w:t>
            </w:r>
          </w:p>
        </w:tc>
        <w:tc>
          <w:tcPr/>
          <w:p>
            <w:pPr>
              <w:pStyle w:val="Compact"/>
            </w:pPr>
          </w:p>
        </w:tc>
      </w:tr>
    </w:tbl>
    <w:p>
      <w:pPr>
        <w:pStyle w:val="BodyText"/>
      </w:pPr>
      <w:r>
        <w:t xml:space="preserve">^*^ The value in the model was updated to 5.210 with the release of PK-Sim 10 to account for the updated calculation method of interstitial concentrations (please refer to the respective</w:t>
      </w:r>
      <w:r>
        <w:t xml:space="preserve"> </w:t>
      </w:r>
      <w:hyperlink r:id="rId44">
        <w:r>
          <w:rPr>
            <w:rStyle w:val="Hyperlink"/>
          </w:rPr>
          <w:t xml:space="preserve">release notes of version 10</w:t>
        </w:r>
      </w:hyperlink>
      <w:r>
        <w:t xml:space="preserve">).</w:t>
      </w:r>
    </w:p>
    <w:bookmarkEnd w:id="45"/>
    <w:bookmarkEnd w:id="46"/>
    <w:bookmarkEnd w:id="47"/>
    <w:bookmarkStart w:id="150" w:name="results-and-discussion"/>
    <w:p>
      <w:pPr>
        <w:pStyle w:val="Heading1"/>
      </w:pPr>
      <w:r>
        <w:t xml:space="preserve">Results and Discussion</w:t>
      </w:r>
      <w:bookmarkStart w:id="results-and-discussion" w:name="results-and-discussion"/>
      <w:bookmarkEnd w:id="results-and-discussion"/>
    </w:p>
    <w:p>
      <w:pPr>
        <w:pStyle w:val="FirstParagraph"/>
      </w:pPr>
      <w:r>
        <w:t xml:space="preserve">The rifampicin model was built and verified using various clinical studies. Overall, the model shows good performance to describe plasma concentration-time profiles over a dose range of 300 to 600 mg after intravenous and oral administration.</w:t>
      </w:r>
    </w:p>
    <w:p>
      <w:pPr>
        <w:pStyle w:val="BodyText"/>
      </w:pPr>
      <w:r>
        <w:t xml:space="preserve">The next sections show:</w:t>
      </w:r>
    </w:p>
    <w:p>
      <w:pPr>
        <w:numPr>
          <w:ilvl w:val="0"/>
          <w:numId w:val="1001"/>
        </w:numPr>
        <w:pStyle w:val="Compact"/>
      </w:pPr>
      <w:r>
        <w:t xml:space="preserve">the final model input parameters for the building blocks:</w:t>
      </w:r>
      <w:r>
        <w:t xml:space="preserve"> </w:t>
      </w:r>
      <w:hyperlink w:anchor="Xc6cf42871317160fa8533d05504fe9284eb5963">
        <w:r>
          <w:rPr>
            <w:rStyle w:val="Hyperlink"/>
          </w:rPr>
          <w:t xml:space="preserve">Section 3.1</w:t>
        </w:r>
      </w:hyperlink>
      <w:r>
        <w:t xml:space="preserve">.</w:t>
      </w:r>
    </w:p>
    <w:p>
      <w:pPr>
        <w:numPr>
          <w:ilvl w:val="0"/>
          <w:numId w:val="1001"/>
        </w:numPr>
        <w:pStyle w:val="Compact"/>
      </w:pPr>
      <w:r>
        <w:t xml:space="preserve">the overall goodness of fit:</w:t>
      </w:r>
      <w:r>
        <w:t xml:space="preserve"> </w:t>
      </w:r>
      <w:hyperlink w:anchor="X8f3aeddcae968e1d328d29ba9adb7d6f485cab0">
        <w:r>
          <w:rPr>
            <w:rStyle w:val="Hyperlink"/>
          </w:rPr>
          <w:t xml:space="preserve">Section 3.2</w:t>
        </w:r>
      </w:hyperlink>
      <w:r>
        <w:t xml:space="preserve">.</w:t>
      </w:r>
    </w:p>
    <w:p>
      <w:pPr>
        <w:numPr>
          <w:ilvl w:val="0"/>
          <w:numId w:val="1001"/>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90" w:name="final-input-parameters"/>
    <w:p>
      <w:pPr>
        <w:pStyle w:val="Heading2"/>
      </w:pPr>
      <w:r>
        <w:t xml:space="preserve">Final input parameters</w:t>
      </w:r>
      <w:bookmarkStart w:id="final-input-parameters" w:name="final-input-parameters"/>
      <w:bookmarkEnd w:id="final-input-parameters"/>
    </w:p>
    <w:p>
      <w:pPr>
        <w:pStyle w:val="FirstParagraph"/>
      </w:pPr>
      <w:r>
        <w:t xml:space="preserve">The parameter values of the final PBPK model are illustrated below.</w:t>
      </w:r>
    </w:p>
    <w:bookmarkStart w:id="89" w:name="compound-rifampicin"/>
    <w:p>
      <w:pPr>
        <w:pStyle w:val="Heading3"/>
      </w:pPr>
      <w:r>
        <w:t xml:space="preserve">Compound: Rifampicin</w:t>
      </w:r>
    </w:p>
    <w:bookmarkStart w:id="48" w:name="parameters"/>
    <w:p>
      <w:pPr>
        <w:pStyle w:val="Heading4"/>
      </w:pPr>
      <w:r>
        <w:t xml:space="preserve">Parameters</w:t>
      </w:r>
    </w:p>
    <w:tbl>
      <w:tblPr>
        <w:tblStyle w:val="Table"/>
        <w:tblW w:type="pct" w:w="5000"/>
        <w:tblLook w:firstRow="1" w:lastRow="0" w:firstColumn="0" w:lastColumn="0" w:noHBand="0" w:noVBand="0" w:val="0020"/>
        <w:jc w:val="start"/>
      </w:tblPr>
      <w:tblGrid>
        <w:gridCol w:w="2603"/>
        <w:gridCol w:w="813"/>
        <w:gridCol w:w="3146"/>
        <w:gridCol w:w="976"/>
        <w:gridCol w:w="379"/>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2800 mg/l</w:t>
            </w:r>
          </w:p>
        </w:tc>
        <w:tc>
          <w:tcPr/>
          <w:p>
            <w:pPr>
              <w:pStyle w:val="Compact"/>
              <w:jc w:val="left"/>
            </w:pPr>
            <w:r>
              <w:t xml:space="preserve">Publication-Boman 1974</w:t>
            </w:r>
          </w:p>
        </w:tc>
        <w:tc>
          <w:tcPr/>
          <w:p>
            <w:pPr>
              <w:pStyle w:val="Compact"/>
              <w:jc w:val="left"/>
            </w:pPr>
            <w:r>
              <w:t xml:space="preserve">Aqueous solubility</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7.5</w:t>
            </w:r>
          </w:p>
        </w:tc>
        <w:tc>
          <w:tcPr/>
          <w:p>
            <w:pPr>
              <w:pStyle w:val="Compact"/>
              <w:jc w:val="left"/>
            </w:pPr>
            <w:r>
              <w:t xml:space="preserve">Publication-Boman 1974</w:t>
            </w:r>
          </w:p>
        </w:tc>
        <w:tc>
          <w:tcPr/>
          <w:p>
            <w:pPr>
              <w:pStyle w:val="Compact"/>
              <w:jc w:val="left"/>
            </w:pPr>
            <w:r>
              <w:t xml:space="preserve">Aqueous solubility</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2.5 Log Units</w:t>
            </w:r>
          </w:p>
        </w:tc>
        <w:tc>
          <w:tcPr/>
          <w:p>
            <w:pPr>
              <w:pStyle w:val="Compact"/>
              <w:jc w:val="left"/>
            </w:pPr>
            <w:r>
              <w:t xml:space="preserve">Publication-Parameter Identification-Hanke et al. 2018</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17 %</w:t>
            </w:r>
          </w:p>
        </w:tc>
        <w:tc>
          <w:tcPr/>
          <w:p>
            <w:pPr>
              <w:pStyle w:val="Compact"/>
              <w:jc w:val="left"/>
            </w:pPr>
            <w:r>
              <w:t xml:space="preserve">Publication-In Vitro-Templeton 2011 (equilibrium dialysis)</w:t>
            </w:r>
          </w:p>
        </w:tc>
        <w:tc>
          <w:tcPr/>
          <w:p>
            <w:pPr>
              <w:pStyle w:val="Compact"/>
              <w:jc w:val="left"/>
            </w:pPr>
            <w:r>
              <w:t xml:space="preserve">Templeton 2011</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1.24E-05 cm/min</w:t>
            </w:r>
          </w:p>
        </w:tc>
        <w:tc>
          <w:tcPr/>
          <w:p>
            <w:pPr>
              <w:pStyle w:val="Compact"/>
              <w:jc w:val="left"/>
            </w:pPr>
            <w:r>
              <w:t xml:space="preserve">Publication-Parameter Identification-Hanke et al. 2018</w:t>
            </w:r>
          </w:p>
        </w:tc>
        <w:tc>
          <w:tcPr/>
          <w:p>
            <w:pPr>
              <w:pStyle w:val="Compact"/>
              <w:jc w:val="left"/>
            </w:pPr>
            <w:r>
              <w:t xml:space="preserve">Optimized</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822.94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48"/>
    <w:bookmarkStart w:id="49" w:name="calculation-methods"/>
    <w:p>
      <w:pPr>
        <w:pStyle w:val="Heading4"/>
      </w:pPr>
      <w:r>
        <w:t xml:space="preserve">Calculation methods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Rodgers and Rowland</w:t>
            </w:r>
          </w:p>
        </w:tc>
      </w:tr>
      <w:tr>
        <w:tc>
          <w:tcPr/>
          <w:p>
            <w:pPr>
              <w:pStyle w:val="Compact"/>
              <w:jc w:val="left"/>
            </w:pPr>
            <w:r>
              <w:t xml:space="preserve">Cellular permeabilities</w:t>
            </w:r>
          </w:p>
        </w:tc>
        <w:tc>
          <w:tcPr/>
          <w:p>
            <w:pPr>
              <w:pStyle w:val="Compact"/>
              <w:jc w:val="left"/>
            </w:pPr>
            <w:r>
              <w:t xml:space="preserve">PK-Sim Standard</w:t>
            </w:r>
          </w:p>
        </w:tc>
      </w:tr>
    </w:tbl>
    <w:bookmarkEnd w:id="49"/>
    <w:bookmarkStart w:id="88" w:name="processes"/>
    <w:p>
      <w:pPr>
        <w:pStyle w:val="Heading4"/>
      </w:pPr>
      <w:r>
        <w:t xml:space="preserve">Processes</w:t>
      </w:r>
    </w:p>
    <w:bookmarkStart w:id="51" w:name="metabolizing-enzyme-aadac-nakajima-2011"/>
    <w:p>
      <w:pPr>
        <w:pStyle w:val="Heading5"/>
      </w:pPr>
      <w:r>
        <w:t xml:space="preserve">Metabolizing Enzyme: AADAC-Nakajima 2011</w:t>
      </w:r>
    </w:p>
    <w:p>
      <w:pPr>
        <w:pStyle w:val="FirstParagraph"/>
      </w:pPr>
      <w:r>
        <w:t xml:space="preserve">Molecule: AADAC</w:t>
      </w:r>
    </w:p>
    <w:bookmarkStart w:id="50" w:name="parameters-1"/>
    <w:p>
      <w:pPr>
        <w:pStyle w:val="Heading6"/>
      </w:pPr>
      <w:r>
        <w:t xml:space="preserve">Parameters</w:t>
      </w:r>
    </w:p>
    <w:tbl>
      <w:tblPr>
        <w:tblStyle w:val="Table"/>
        <w:tblW w:type="pct" w:w="5000"/>
        <w:tblLook w:firstRow="1" w:lastRow="0" w:firstColumn="0" w:lastColumn="0" w:noHBand="0" w:noVBand="0" w:val="0020"/>
        <w:jc w:val="start"/>
      </w:tblPr>
      <w:tblGrid>
        <w:gridCol w:w="1800"/>
        <w:gridCol w:w="1260"/>
        <w:gridCol w:w="486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Enzyme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6.5 µmol/l/min</w:t>
            </w:r>
          </w:p>
        </w:tc>
        <w:tc>
          <w:tcPr/>
          <w:p>
            <w:pPr>
              <w:pStyle w:val="Compact"/>
            </w:pPr>
          </w:p>
        </w:tc>
      </w:tr>
      <w:tr>
        <w:tc>
          <w:tcPr/>
          <w:p>
            <w:pPr>
              <w:pStyle w:val="Compact"/>
              <w:jc w:val="left"/>
            </w:pPr>
            <w:r>
              <w:t xml:space="preserve">Km</w:t>
            </w:r>
          </w:p>
        </w:tc>
        <w:tc>
          <w:tcPr/>
          <w:p>
            <w:pPr>
              <w:pStyle w:val="Compact"/>
              <w:jc w:val="left"/>
            </w:pPr>
            <w:r>
              <w:t xml:space="preserve">195.1 µmol/l</w:t>
            </w:r>
          </w:p>
        </w:tc>
        <w:tc>
          <w:tcPr/>
          <w:p>
            <w:pPr>
              <w:pStyle w:val="Compact"/>
            </w:pPr>
          </w:p>
        </w:tc>
      </w:tr>
      <w:tr>
        <w:tc>
          <w:tcPr/>
          <w:p>
            <w:pPr>
              <w:pStyle w:val="Compact"/>
              <w:jc w:val="left"/>
            </w:pPr>
            <w:r>
              <w:t xml:space="preserve">kcat</w:t>
            </w:r>
          </w:p>
        </w:tc>
        <w:tc>
          <w:tcPr/>
          <w:p>
            <w:pPr>
              <w:pStyle w:val="Compact"/>
              <w:jc w:val="left"/>
            </w:pPr>
            <w:r>
              <w:t xml:space="preserve">9.865 1/min</w:t>
            </w:r>
          </w:p>
        </w:tc>
        <w:tc>
          <w:tcPr/>
          <w:p>
            <w:pPr>
              <w:pStyle w:val="Compact"/>
              <w:jc w:val="left"/>
            </w:pPr>
            <w:r>
              <w:t xml:space="preserve">Publication-Parameter Identification-Hanke et al. 2018</w:t>
            </w:r>
          </w:p>
        </w:tc>
      </w:tr>
    </w:tbl>
    <w:bookmarkEnd w:id="50"/>
    <w:bookmarkEnd w:id="51"/>
    <w:bookmarkStart w:id="53" w:name="transport-protein-p-gp-collett-2004"/>
    <w:p>
      <w:pPr>
        <w:pStyle w:val="Heading5"/>
      </w:pPr>
      <w:r>
        <w:t xml:space="preserve">Transport Protein: P-gp-Collett 2004</w:t>
      </w:r>
    </w:p>
    <w:p>
      <w:pPr>
        <w:pStyle w:val="FirstParagraph"/>
      </w:pPr>
      <w:r>
        <w:t xml:space="preserve">Molecule: P-gp</w:t>
      </w:r>
    </w:p>
    <w:bookmarkStart w:id="52" w:name="parameters-2"/>
    <w:p>
      <w:pPr>
        <w:pStyle w:val="Heading6"/>
      </w:pPr>
      <w:r>
        <w:t xml:space="preserve">Parameters</w:t>
      </w:r>
    </w:p>
    <w:tbl>
      <w:tblPr>
        <w:tblStyle w:val="Table"/>
        <w:tblW w:type="pct" w:w="5000"/>
        <w:tblLook w:firstRow="1" w:lastRow="0" w:firstColumn="0" w:lastColumn="0" w:noHBand="0" w:noVBand="0" w:val="0020"/>
        <w:jc w:val="start"/>
      </w:tblPr>
      <w:tblGrid>
        <w:gridCol w:w="2106"/>
        <w:gridCol w:w="1263"/>
        <w:gridCol w:w="4549"/>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60 nmol/l</w:t>
            </w:r>
          </w:p>
        </w:tc>
        <w:tc>
          <w:tcPr/>
          <w:p>
            <w:pPr>
              <w:pStyle w:val="Compact"/>
            </w:pPr>
          </w:p>
        </w:tc>
      </w:tr>
      <w:tr>
        <w:tc>
          <w:tcPr/>
          <w:p>
            <w:pPr>
              <w:pStyle w:val="Compact"/>
              <w:jc w:val="left"/>
            </w:pPr>
            <w:r>
              <w:t xml:space="preserve">Vmax</w:t>
            </w:r>
          </w:p>
        </w:tc>
        <w:tc>
          <w:tcPr/>
          <w:p>
            <w:pPr>
              <w:pStyle w:val="Compact"/>
              <w:jc w:val="left"/>
            </w:pPr>
            <w:r>
              <w:t xml:space="preserve">2.87 µmol/l/min</w:t>
            </w:r>
          </w:p>
        </w:tc>
        <w:tc>
          <w:tcPr/>
          <w:p>
            <w:pPr>
              <w:pStyle w:val="Compact"/>
            </w:pPr>
          </w:p>
        </w:tc>
      </w:tr>
      <w:tr>
        <w:tc>
          <w:tcPr/>
          <w:p>
            <w:pPr>
              <w:pStyle w:val="Compact"/>
              <w:jc w:val="left"/>
            </w:pPr>
            <w:r>
              <w:t xml:space="preserve">Km</w:t>
            </w:r>
          </w:p>
        </w:tc>
        <w:tc>
          <w:tcPr/>
          <w:p>
            <w:pPr>
              <w:pStyle w:val="Compact"/>
              <w:jc w:val="left"/>
            </w:pPr>
            <w:r>
              <w:t xml:space="preserve">55 µmol/l</w:t>
            </w:r>
          </w:p>
        </w:tc>
        <w:tc>
          <w:tcPr/>
          <w:p>
            <w:pPr>
              <w:pStyle w:val="Compact"/>
            </w:pPr>
          </w:p>
        </w:tc>
      </w:tr>
      <w:tr>
        <w:tc>
          <w:tcPr/>
          <w:p>
            <w:pPr>
              <w:pStyle w:val="Compact"/>
              <w:jc w:val="left"/>
            </w:pPr>
            <w:r>
              <w:t xml:space="preserve">kcat</w:t>
            </w:r>
          </w:p>
        </w:tc>
        <w:tc>
          <w:tcPr/>
          <w:p>
            <w:pPr>
              <w:pStyle w:val="Compact"/>
              <w:jc w:val="left"/>
            </w:pPr>
            <w:r>
              <w:t xml:space="preserve">0.6088 1/min</w:t>
            </w:r>
          </w:p>
        </w:tc>
        <w:tc>
          <w:tcPr/>
          <w:p>
            <w:pPr>
              <w:pStyle w:val="Compact"/>
              <w:jc w:val="left"/>
            </w:pPr>
            <w:r>
              <w:t xml:space="preserve">Publication-Parameter Identification-Hanke et al. 2018</w:t>
            </w:r>
          </w:p>
        </w:tc>
      </w:tr>
    </w:tbl>
    <w:bookmarkEnd w:id="52"/>
    <w:bookmarkEnd w:id="53"/>
    <w:bookmarkStart w:id="55" w:name="transport-protein-oatp1b1-tirona-2003"/>
    <w:p>
      <w:pPr>
        <w:pStyle w:val="Heading5"/>
      </w:pPr>
      <w:r>
        <w:t xml:space="preserve">Transport Protein: OATP1B1-Tirona 2003</w:t>
      </w:r>
    </w:p>
    <w:p>
      <w:pPr>
        <w:pStyle w:val="FirstParagraph"/>
      </w:pPr>
      <w:r>
        <w:t xml:space="preserve">Molecule: OATP1B1</w:t>
      </w:r>
    </w:p>
    <w:bookmarkStart w:id="54" w:name="parameters-3"/>
    <w:p>
      <w:pPr>
        <w:pStyle w:val="Heading6"/>
      </w:pPr>
      <w:r>
        <w:t xml:space="preserve">Parameters</w:t>
      </w:r>
    </w:p>
    <w:tbl>
      <w:tblPr>
        <w:tblStyle w:val="Table"/>
        <w:tblW w:type="pct" w:w="5000"/>
        <w:tblLook w:firstRow="1" w:lastRow="0" w:firstColumn="0" w:lastColumn="0" w:noHBand="0" w:noVBand="0" w:val="0020"/>
        <w:jc w:val="start"/>
      </w:tblPr>
      <w:tblGrid>
        <w:gridCol w:w="2084"/>
        <w:gridCol w:w="1333"/>
        <w:gridCol w:w="4501"/>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109.6 µmol/l</w:t>
            </w:r>
          </w:p>
        </w:tc>
        <w:tc>
          <w:tcPr/>
          <w:p>
            <w:pPr>
              <w:pStyle w:val="Compact"/>
            </w:pPr>
          </w:p>
        </w:tc>
      </w:tr>
      <w:tr>
        <w:tc>
          <w:tcPr/>
          <w:p>
            <w:pPr>
              <w:pStyle w:val="Compact"/>
              <w:jc w:val="left"/>
            </w:pPr>
            <w:r>
              <w:t xml:space="preserve">Vmax</w:t>
            </w:r>
          </w:p>
        </w:tc>
        <w:tc>
          <w:tcPr/>
          <w:p>
            <w:pPr>
              <w:pStyle w:val="Compact"/>
              <w:jc w:val="left"/>
            </w:pPr>
            <w:r>
              <w:t xml:space="preserve">0.372 µmol/l/min</w:t>
            </w:r>
          </w:p>
        </w:tc>
        <w:tc>
          <w:tcPr/>
          <w:p>
            <w:pPr>
              <w:pStyle w:val="Compact"/>
            </w:pPr>
          </w:p>
        </w:tc>
      </w:tr>
      <w:tr>
        <w:tc>
          <w:tcPr/>
          <w:p>
            <w:pPr>
              <w:pStyle w:val="Compact"/>
              <w:jc w:val="left"/>
            </w:pPr>
            <w:r>
              <w:t xml:space="preserve">Km</w:t>
            </w:r>
          </w:p>
        </w:tc>
        <w:tc>
          <w:tcPr/>
          <w:p>
            <w:pPr>
              <w:pStyle w:val="Compact"/>
              <w:jc w:val="left"/>
            </w:pPr>
            <w:r>
              <w:t xml:space="preserve">1.5 µmol/l</w:t>
            </w:r>
          </w:p>
        </w:tc>
        <w:tc>
          <w:tcPr/>
          <w:p>
            <w:pPr>
              <w:pStyle w:val="Compact"/>
            </w:pPr>
          </w:p>
        </w:tc>
      </w:tr>
      <w:tr>
        <w:tc>
          <w:tcPr/>
          <w:p>
            <w:pPr>
              <w:pStyle w:val="Compact"/>
              <w:jc w:val="left"/>
            </w:pPr>
            <w:r>
              <w:t xml:space="preserve">kcat</w:t>
            </w:r>
          </w:p>
        </w:tc>
        <w:tc>
          <w:tcPr/>
          <w:p>
            <w:pPr>
              <w:pStyle w:val="Compact"/>
              <w:jc w:val="left"/>
            </w:pPr>
            <w:r>
              <w:t xml:space="preserve">5.21004653 1/min</w:t>
            </w:r>
          </w:p>
        </w:tc>
        <w:tc>
          <w:tcPr/>
          <w:p>
            <w:pPr>
              <w:pStyle w:val="Compact"/>
              <w:jc w:val="left"/>
            </w:pPr>
            <w:r>
              <w:t xml:space="preserve">Publication-Parameter Identification-Hanke et al. 2018</w:t>
            </w:r>
          </w:p>
        </w:tc>
      </w:tr>
    </w:tbl>
    <w:bookmarkEnd w:id="54"/>
    <w:bookmarkEnd w:id="55"/>
    <w:bookmarkStart w:id="57" w:name="Xfbb585bd3ea04ad12af4aaaab2c22095455c854"/>
    <w:p>
      <w:pPr>
        <w:pStyle w:val="Heading5"/>
      </w:pPr>
      <w:r>
        <w:t xml:space="preserve">Systemic Process: Glomerular Filtration-GFR</w:t>
      </w:r>
    </w:p>
    <w:p>
      <w:pPr>
        <w:pStyle w:val="FirstParagraph"/>
      </w:pPr>
      <w:r>
        <w:t xml:space="preserve">Species: Human</w:t>
      </w:r>
    </w:p>
    <w:bookmarkStart w:id="56" w:name="parameters-4"/>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left"/>
            </w:pPr>
            <w:r>
              <w:t xml:space="preserve">Value Origin</w:t>
            </w:r>
          </w:p>
        </w:tc>
      </w:tr>
      <w:tr>
        <w:tc>
          <w:tcPr/>
          <w:p>
            <w:pPr>
              <w:pStyle w:val="Compact"/>
              <w:jc w:val="left"/>
            </w:pPr>
            <w:r>
              <w:t xml:space="preserve">GFR fraction</w:t>
            </w:r>
          </w:p>
        </w:tc>
        <w:tc>
          <w:tcPr/>
          <w:p>
            <w:pPr>
              <w:pStyle w:val="Compact"/>
              <w:jc w:val="right"/>
            </w:pPr>
            <w:r>
              <w:t xml:space="preserve">1</w:t>
            </w:r>
          </w:p>
        </w:tc>
        <w:tc>
          <w:tcPr/>
          <w:p>
            <w:pPr>
              <w:pStyle w:val="Compact"/>
              <w:jc w:val="left"/>
            </w:pPr>
            <w:r>
              <w:t xml:space="preserve">Publication-Assumption-Hanke et al. 2018</w:t>
            </w:r>
          </w:p>
        </w:tc>
      </w:tr>
    </w:tbl>
    <w:bookmarkEnd w:id="56"/>
    <w:bookmarkEnd w:id="57"/>
    <w:bookmarkStart w:id="59" w:name="inhibition-cyp2c8-kajosaari-2005"/>
    <w:p>
      <w:pPr>
        <w:pStyle w:val="Heading5"/>
      </w:pPr>
      <w:r>
        <w:t xml:space="preserve">Inhibition: CYP2C8-Kajosaari 2005</w:t>
      </w:r>
    </w:p>
    <w:p>
      <w:pPr>
        <w:pStyle w:val="FirstParagraph"/>
      </w:pPr>
      <w:r>
        <w:t xml:space="preserve">Molecule: CYP2C8</w:t>
      </w:r>
    </w:p>
    <w:bookmarkStart w:id="58" w:name="parameters-5"/>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30.2 µmol/l</w:t>
            </w:r>
          </w:p>
        </w:tc>
        <w:tc>
          <w:tcPr/>
          <w:p>
            <w:pPr>
              <w:pStyle w:val="Compact"/>
              <w:jc w:val="left"/>
            </w:pPr>
            <w:r>
              <w:t xml:space="preserve">Publication-Kajosaari et al. 2005</w:t>
            </w:r>
          </w:p>
        </w:tc>
      </w:tr>
    </w:tbl>
    <w:bookmarkEnd w:id="58"/>
    <w:bookmarkEnd w:id="59"/>
    <w:bookmarkStart w:id="61" w:name="inhibition-cyp2c9-hanke-2021"/>
    <w:p>
      <w:pPr>
        <w:pStyle w:val="Heading5"/>
      </w:pPr>
      <w:r>
        <w:t xml:space="preserve">Inhibition: CYP2C9-Hanke 2021</w:t>
      </w:r>
    </w:p>
    <w:p>
      <w:pPr>
        <w:pStyle w:val="FirstParagraph"/>
      </w:pPr>
      <w:r>
        <w:t xml:space="preserve">Molecule: CYP2C9</w:t>
      </w:r>
    </w:p>
    <w:bookmarkStart w:id="60" w:name="parameters-6"/>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150 µmol/l</w:t>
            </w:r>
          </w:p>
        </w:tc>
        <w:tc>
          <w:tcPr/>
          <w:p>
            <w:pPr>
              <w:pStyle w:val="Compact"/>
              <w:jc w:val="left"/>
            </w:pPr>
            <w:r>
              <w:t xml:space="preserve">Publication-Yoshida 2012</w:t>
            </w:r>
          </w:p>
        </w:tc>
      </w:tr>
    </w:tbl>
    <w:bookmarkEnd w:id="60"/>
    <w:bookmarkEnd w:id="61"/>
    <w:bookmarkStart w:id="63" w:name="inhibition-cyp3a4-kajosaari-2005"/>
    <w:p>
      <w:pPr>
        <w:pStyle w:val="Heading5"/>
      </w:pPr>
      <w:r>
        <w:t xml:space="preserve">Inhibition: CYP3A4-Kajosaari 2005</w:t>
      </w:r>
    </w:p>
    <w:p>
      <w:pPr>
        <w:pStyle w:val="FirstParagraph"/>
      </w:pPr>
      <w:r>
        <w:t xml:space="preserve">Molecule: CYP3A4</w:t>
      </w:r>
    </w:p>
    <w:bookmarkStart w:id="62" w:name="parameters-7"/>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18.5 µmol/l</w:t>
            </w:r>
          </w:p>
        </w:tc>
        <w:tc>
          <w:tcPr/>
          <w:p>
            <w:pPr>
              <w:pStyle w:val="Compact"/>
              <w:jc w:val="left"/>
            </w:pPr>
            <w:r>
              <w:t xml:space="preserve">Publication-Kajosaari et al. 2005</w:t>
            </w:r>
          </w:p>
        </w:tc>
      </w:tr>
    </w:tbl>
    <w:bookmarkEnd w:id="62"/>
    <w:bookmarkEnd w:id="63"/>
    <w:bookmarkStart w:id="65" w:name="inhibition-bcrp-hanke-2021"/>
    <w:p>
      <w:pPr>
        <w:pStyle w:val="Heading5"/>
      </w:pPr>
      <w:r>
        <w:t xml:space="preserve">Inhibition: BCRP-Hanke 2021</w:t>
      </w:r>
    </w:p>
    <w:p>
      <w:pPr>
        <w:pStyle w:val="FirstParagraph"/>
      </w:pPr>
      <w:r>
        <w:t xml:space="preserve">Molecule: BCRP</w:t>
      </w:r>
    </w:p>
    <w:bookmarkStart w:id="64" w:name="parameters-8"/>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14 µmol/l</w:t>
            </w:r>
          </w:p>
        </w:tc>
        <w:tc>
          <w:tcPr/>
          <w:p>
            <w:pPr>
              <w:pStyle w:val="Compact"/>
              <w:jc w:val="left"/>
            </w:pPr>
            <w:r>
              <w:t xml:space="preserve">Publication-Prueksaritanont 2014</w:t>
            </w:r>
          </w:p>
        </w:tc>
      </w:tr>
    </w:tbl>
    <w:bookmarkEnd w:id="64"/>
    <w:bookmarkEnd w:id="65"/>
    <w:bookmarkStart w:id="67" w:name="inhibition-oatp1b1-hanke-2021"/>
    <w:p>
      <w:pPr>
        <w:pStyle w:val="Heading5"/>
      </w:pPr>
      <w:r>
        <w:t xml:space="preserve">Inhibition: OATP1B1-Hanke 2021</w:t>
      </w:r>
    </w:p>
    <w:p>
      <w:pPr>
        <w:pStyle w:val="FirstParagraph"/>
      </w:pPr>
      <w:r>
        <w:t xml:space="preserve">Molecule: OATP1B1</w:t>
      </w:r>
    </w:p>
    <w:bookmarkStart w:id="66" w:name="parameters-9"/>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0.29 µmol/l</w:t>
            </w:r>
          </w:p>
        </w:tc>
        <w:tc>
          <w:tcPr/>
          <w:p>
            <w:pPr>
              <w:pStyle w:val="Compact"/>
              <w:jc w:val="left"/>
            </w:pPr>
            <w:r>
              <w:t xml:space="preserve">Publication-In Vitro-Bi 2019</w:t>
            </w:r>
          </w:p>
        </w:tc>
      </w:tr>
    </w:tbl>
    <w:bookmarkEnd w:id="66"/>
    <w:bookmarkEnd w:id="67"/>
    <w:bookmarkStart w:id="69" w:name="inhibition-oatp1b3-hanke-2021"/>
    <w:p>
      <w:pPr>
        <w:pStyle w:val="Heading5"/>
      </w:pPr>
      <w:r>
        <w:t xml:space="preserve">Inhibition: OATP1B3-Hanke 2021</w:t>
      </w:r>
    </w:p>
    <w:p>
      <w:pPr>
        <w:pStyle w:val="FirstParagraph"/>
      </w:pPr>
      <w:r>
        <w:t xml:space="preserve">Molecule: OATP1B3</w:t>
      </w:r>
    </w:p>
    <w:bookmarkStart w:id="68" w:name="parameters-10"/>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0.5 µmol/l</w:t>
            </w:r>
          </w:p>
        </w:tc>
        <w:tc>
          <w:tcPr/>
          <w:p>
            <w:pPr>
              <w:pStyle w:val="Compact"/>
              <w:jc w:val="left"/>
            </w:pPr>
            <w:r>
              <w:t xml:space="preserve">Publication-In Vitro-Bi 2019</w:t>
            </w:r>
          </w:p>
        </w:tc>
      </w:tr>
    </w:tbl>
    <w:bookmarkEnd w:id="68"/>
    <w:bookmarkEnd w:id="69"/>
    <w:bookmarkStart w:id="71" w:name="inhibition-oatp2b1-hanke-2021"/>
    <w:p>
      <w:pPr>
        <w:pStyle w:val="Heading5"/>
      </w:pPr>
      <w:r>
        <w:t xml:space="preserve">Inhibition: OATP2B1-Hanke 2021</w:t>
      </w:r>
    </w:p>
    <w:p>
      <w:pPr>
        <w:pStyle w:val="FirstParagraph"/>
      </w:pPr>
      <w:r>
        <w:t xml:space="preserve">Molecule: OATP2B1</w:t>
      </w:r>
    </w:p>
    <w:bookmarkStart w:id="70" w:name="parameters-11"/>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78.2 µmol/l</w:t>
            </w:r>
          </w:p>
        </w:tc>
        <w:tc>
          <w:tcPr/>
          <w:p>
            <w:pPr>
              <w:pStyle w:val="Compact"/>
              <w:jc w:val="left"/>
            </w:pPr>
            <w:r>
              <w:t xml:space="preserve">Publication-In Vitro-Zhang 2019</w:t>
            </w:r>
          </w:p>
        </w:tc>
      </w:tr>
    </w:tbl>
    <w:bookmarkEnd w:id="70"/>
    <w:bookmarkEnd w:id="71"/>
    <w:bookmarkStart w:id="73" w:name="inhibition-p-gp-hanke-2021"/>
    <w:p>
      <w:pPr>
        <w:pStyle w:val="Heading5"/>
      </w:pPr>
      <w:r>
        <w:t xml:space="preserve">Inhibition: P-gp-Hanke 2021</w:t>
      </w:r>
    </w:p>
    <w:p>
      <w:pPr>
        <w:pStyle w:val="FirstParagraph"/>
      </w:pPr>
      <w:r>
        <w:t xml:space="preserve">Molecule: P-gp</w:t>
      </w:r>
    </w:p>
    <w:bookmarkStart w:id="72" w:name="parameters-12"/>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Ki</w:t>
            </w:r>
          </w:p>
        </w:tc>
        <w:tc>
          <w:tcPr/>
          <w:p>
            <w:pPr>
              <w:pStyle w:val="Compact"/>
              <w:jc w:val="left"/>
            </w:pPr>
            <w:r>
              <w:t xml:space="preserve">9.1 µmol/l</w:t>
            </w:r>
          </w:p>
        </w:tc>
        <w:tc>
          <w:tcPr/>
          <w:p>
            <w:pPr>
              <w:pStyle w:val="Compact"/>
              <w:jc w:val="left"/>
            </w:pPr>
            <w:r>
              <w:t xml:space="preserve">Other-In Vitro-NBI</w:t>
            </w:r>
          </w:p>
        </w:tc>
      </w:tr>
    </w:tbl>
    <w:bookmarkEnd w:id="72"/>
    <w:bookmarkEnd w:id="73"/>
    <w:bookmarkStart w:id="75" w:name="induction-cyp1a2-chen-2010"/>
    <w:p>
      <w:pPr>
        <w:pStyle w:val="Heading5"/>
      </w:pPr>
      <w:r>
        <w:t xml:space="preserve">Induction: CYP1A2-Chen 2010</w:t>
      </w:r>
    </w:p>
    <w:p>
      <w:pPr>
        <w:pStyle w:val="FirstParagraph"/>
      </w:pPr>
      <w:r>
        <w:t xml:space="preserve">Molecule: CYP1A2</w:t>
      </w:r>
    </w:p>
    <w:bookmarkStart w:id="74" w:name="parameters-13"/>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righ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pPr>
          </w:p>
        </w:tc>
      </w:tr>
      <w:tr>
        <w:tc>
          <w:tcPr/>
          <w:p>
            <w:pPr>
              <w:pStyle w:val="Compact"/>
              <w:jc w:val="left"/>
            </w:pPr>
            <w:r>
              <w:t xml:space="preserve">Emax</w:t>
            </w:r>
          </w:p>
        </w:tc>
        <w:tc>
          <w:tcPr/>
          <w:p>
            <w:pPr>
              <w:pStyle w:val="Compact"/>
              <w:jc w:val="left"/>
            </w:pPr>
            <w:r>
              <w:t xml:space="preserve">0.65</w:t>
            </w:r>
          </w:p>
        </w:tc>
        <w:tc>
          <w:tcPr/>
          <w:p>
            <w:pPr>
              <w:pStyle w:val="Compact"/>
            </w:pPr>
          </w:p>
        </w:tc>
      </w:tr>
    </w:tbl>
    <w:bookmarkEnd w:id="74"/>
    <w:bookmarkEnd w:id="75"/>
    <w:bookmarkStart w:id="77" w:name="induction-cyp2c8-buckley-2014"/>
    <w:p>
      <w:pPr>
        <w:pStyle w:val="Heading5"/>
      </w:pPr>
      <w:r>
        <w:t xml:space="preserve">Induction: CYP2C8-Buckley 2014</w:t>
      </w:r>
    </w:p>
    <w:p>
      <w:pPr>
        <w:pStyle w:val="FirstParagraph"/>
      </w:pPr>
      <w:r>
        <w:t xml:space="preserve">Molecule: CYP2C8</w:t>
      </w:r>
    </w:p>
    <w:bookmarkStart w:id="76" w:name="parameters-14"/>
    <w:p>
      <w:pPr>
        <w:pStyle w:val="Heading6"/>
      </w:pPr>
      <w:r>
        <w:t xml:space="preserve">Parameters</w:t>
      </w:r>
    </w:p>
    <w:tbl>
      <w:tblPr>
        <w:tblStyle w:val="Table"/>
        <w:tblW w:type="pct" w:w="5000"/>
        <w:tblLook w:firstRow="1" w:lastRow="0" w:firstColumn="0" w:lastColumn="0" w:noHBand="0" w:noVBand="0" w:val="0020"/>
        <w:jc w:val="start"/>
      </w:tblPr>
      <w:tblGrid>
        <w:gridCol w:w="78"/>
        <w:gridCol w:w="215"/>
        <w:gridCol w:w="7626"/>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jc w:val="left"/>
            </w:pPr>
            <w:r>
              <w:t xml:space="preserve">Publication-Templeton IE, Houston JB, Galetin A. Predictive utility of in vitro rifampin induction data generated in fresh and cryopreserved human hepatocytes, Fa2N-4, and HepaRG cells. Drug Metab Dispos. 2011;39:1921–9; Shou M, Hayashi M, Pan Y, Xu Y, Morrissey K, Xu L, et al. Modeling, prediction, and in vitro in vivo correlation of CYP3A4 induction. Drug Metab Dispos. 2008;36:2355–70.</w:t>
            </w:r>
          </w:p>
        </w:tc>
      </w:tr>
      <w:tr>
        <w:tc>
          <w:tcPr/>
          <w:p>
            <w:pPr>
              <w:pStyle w:val="Compact"/>
              <w:jc w:val="left"/>
            </w:pPr>
            <w:r>
              <w:t xml:space="preserve">Emax</w:t>
            </w:r>
          </w:p>
        </w:tc>
        <w:tc>
          <w:tcPr/>
          <w:p>
            <w:pPr>
              <w:pStyle w:val="Compact"/>
              <w:jc w:val="left"/>
            </w:pPr>
            <w:r>
              <w:t xml:space="preserve">3.2</w:t>
            </w:r>
          </w:p>
        </w:tc>
        <w:tc>
          <w:tcPr/>
          <w:p>
            <w:pPr>
              <w:pStyle w:val="Compact"/>
              <w:jc w:val="left"/>
            </w:pPr>
            <w:r>
              <w:t xml:space="preserve">Publication-Buckley DB, Wiegand CM, Prentiss PL, Fahmi OA. Time-course of cytochrome P450 (CYP450) induction in cultured human hepatocytes: Evaluation of activity and mRNA expression profiles for six inducible CYP450 enzymes. ISSX. 2013</w:t>
            </w:r>
          </w:p>
        </w:tc>
      </w:tr>
    </w:tbl>
    <w:bookmarkEnd w:id="76"/>
    <w:bookmarkEnd w:id="77"/>
    <w:bookmarkStart w:id="79" w:name="induction-cyp2e1-rae-2001"/>
    <w:p>
      <w:pPr>
        <w:pStyle w:val="Heading5"/>
      </w:pPr>
      <w:r>
        <w:t xml:space="preserve">Induction: CYP2E1-Rae 2001</w:t>
      </w:r>
    </w:p>
    <w:p>
      <w:pPr>
        <w:pStyle w:val="FirstParagraph"/>
      </w:pPr>
      <w:r>
        <w:t xml:space="preserve">Molecule: CYP2E1</w:t>
      </w:r>
    </w:p>
    <w:bookmarkStart w:id="78" w:name="parameters-15"/>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righ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pPr>
          </w:p>
        </w:tc>
      </w:tr>
      <w:tr>
        <w:tc>
          <w:tcPr/>
          <w:p>
            <w:pPr>
              <w:pStyle w:val="Compact"/>
              <w:jc w:val="left"/>
            </w:pPr>
            <w:r>
              <w:t xml:space="preserve">Emax</w:t>
            </w:r>
          </w:p>
        </w:tc>
        <w:tc>
          <w:tcPr/>
          <w:p>
            <w:pPr>
              <w:pStyle w:val="Compact"/>
              <w:jc w:val="left"/>
            </w:pPr>
            <w:r>
              <w:t xml:space="preserve">0.8</w:t>
            </w:r>
          </w:p>
        </w:tc>
        <w:tc>
          <w:tcPr/>
          <w:p>
            <w:pPr>
              <w:pStyle w:val="Compact"/>
            </w:pPr>
          </w:p>
        </w:tc>
      </w:tr>
    </w:tbl>
    <w:bookmarkEnd w:id="78"/>
    <w:bookmarkEnd w:id="79"/>
    <w:bookmarkStart w:id="81" w:name="induction-cyp3a4-templeton-2011"/>
    <w:p>
      <w:pPr>
        <w:pStyle w:val="Heading5"/>
      </w:pPr>
      <w:r>
        <w:t xml:space="preserve">Induction: CYP3A4-Templeton 2011</w:t>
      </w:r>
    </w:p>
    <w:p>
      <w:pPr>
        <w:pStyle w:val="FirstParagraph"/>
      </w:pPr>
      <w:r>
        <w:t xml:space="preserve">Molecule: CYP3A4</w:t>
      </w:r>
    </w:p>
    <w:bookmarkStart w:id="80" w:name="parameters-16"/>
    <w:p>
      <w:pPr>
        <w:pStyle w:val="Heading6"/>
      </w:pPr>
      <w:r>
        <w:t xml:space="preserve">Parameters</w:t>
      </w:r>
    </w:p>
    <w:tbl>
      <w:tblPr>
        <w:tblStyle w:val="Table"/>
        <w:tblW w:type="pct" w:w="5000"/>
        <w:tblLook w:firstRow="1" w:lastRow="0" w:firstColumn="0" w:lastColumn="0" w:noHBand="0" w:noVBand="0" w:val="0020"/>
        <w:jc w:val="start"/>
      </w:tblPr>
      <w:tblGrid>
        <w:gridCol w:w="487"/>
        <w:gridCol w:w="1340"/>
        <w:gridCol w:w="609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jc w:val="left"/>
            </w:pPr>
            <w:r>
              <w:t xml:space="preserve">Publication-Templeton 2011 (weighted mean for FHH)</w:t>
            </w:r>
          </w:p>
        </w:tc>
      </w:tr>
      <w:tr>
        <w:tc>
          <w:tcPr/>
          <w:p>
            <w:pPr>
              <w:pStyle w:val="Compact"/>
              <w:jc w:val="left"/>
            </w:pPr>
            <w:r>
              <w:t xml:space="preserve">Emax</w:t>
            </w:r>
          </w:p>
        </w:tc>
        <w:tc>
          <w:tcPr/>
          <w:p>
            <w:pPr>
              <w:pStyle w:val="Compact"/>
              <w:jc w:val="left"/>
            </w:pPr>
            <w:r>
              <w:t xml:space="preserve">9</w:t>
            </w:r>
          </w:p>
        </w:tc>
        <w:tc>
          <w:tcPr/>
          <w:p>
            <w:pPr>
              <w:pStyle w:val="Compact"/>
              <w:jc w:val="left"/>
            </w:pPr>
            <w:r>
              <w:t xml:space="preserve">Publication-Templeton 2011 (weighted mean for FHH)</w:t>
            </w:r>
          </w:p>
        </w:tc>
      </w:tr>
    </w:tbl>
    <w:bookmarkEnd w:id="80"/>
    <w:bookmarkEnd w:id="81"/>
    <w:bookmarkStart w:id="83" w:name="induction-aadac-assumed"/>
    <w:p>
      <w:pPr>
        <w:pStyle w:val="Heading5"/>
      </w:pPr>
      <w:r>
        <w:t xml:space="preserve">Induction: AADAC-Assumed</w:t>
      </w:r>
    </w:p>
    <w:p>
      <w:pPr>
        <w:pStyle w:val="FirstParagraph"/>
      </w:pPr>
      <w:r>
        <w:t xml:space="preserve">Molecule: AADAC</w:t>
      </w:r>
    </w:p>
    <w:bookmarkStart w:id="82" w:name="parameters-17"/>
    <w:p>
      <w:pPr>
        <w:pStyle w:val="Heading6"/>
      </w:pPr>
      <w:r>
        <w:t xml:space="preserve">Parameters</w:t>
      </w:r>
    </w:p>
    <w:tbl>
      <w:tblPr>
        <w:tblStyle w:val="Table"/>
        <w:tblW w:type="pct" w:w="5000"/>
        <w:tblLook w:firstRow="1" w:lastRow="0" w:firstColumn="0" w:lastColumn="0" w:noHBand="0" w:noVBand="0" w:val="0020"/>
        <w:jc w:val="start"/>
      </w:tblPr>
      <w:tblGrid>
        <w:gridCol w:w="459"/>
        <w:gridCol w:w="1262"/>
        <w:gridCol w:w="6198"/>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jc w:val="left"/>
            </w:pPr>
            <w:r>
              <w:t xml:space="preserve">Publication-Assumption-Hanke et al. 2018</w:t>
            </w:r>
          </w:p>
        </w:tc>
      </w:tr>
      <w:tr>
        <w:tc>
          <w:tcPr/>
          <w:p>
            <w:pPr>
              <w:pStyle w:val="Compact"/>
              <w:jc w:val="left"/>
            </w:pPr>
            <w:r>
              <w:t xml:space="preserve">Emax</w:t>
            </w:r>
          </w:p>
        </w:tc>
        <w:tc>
          <w:tcPr/>
          <w:p>
            <w:pPr>
              <w:pStyle w:val="Compact"/>
              <w:jc w:val="left"/>
            </w:pPr>
            <w:r>
              <w:t xml:space="preserve">0.985</w:t>
            </w:r>
          </w:p>
        </w:tc>
        <w:tc>
          <w:tcPr/>
          <w:p>
            <w:pPr>
              <w:pStyle w:val="Compact"/>
              <w:jc w:val="left"/>
            </w:pPr>
            <w:r>
              <w:t xml:space="preserve">Publication-Parameter Identification-Hanke et al. 2018</w:t>
            </w:r>
          </w:p>
        </w:tc>
      </w:tr>
    </w:tbl>
    <w:bookmarkEnd w:id="82"/>
    <w:bookmarkEnd w:id="83"/>
    <w:bookmarkStart w:id="85" w:name="induction-oatp1b1-dixit-2007"/>
    <w:p>
      <w:pPr>
        <w:pStyle w:val="Heading5"/>
      </w:pPr>
      <w:r>
        <w:t xml:space="preserve">Induction: OATP1B1-Dixit 2007</w:t>
      </w:r>
    </w:p>
    <w:p>
      <w:pPr>
        <w:pStyle w:val="FirstParagraph"/>
      </w:pPr>
      <w:r>
        <w:t xml:space="preserve">Molecule: OATP1B1</w:t>
      </w:r>
    </w:p>
    <w:bookmarkStart w:id="84" w:name="parameters-18"/>
    <w:p>
      <w:pPr>
        <w:pStyle w:val="Heading6"/>
      </w:pPr>
      <w:r>
        <w:t xml:space="preserve">Parameters</w:t>
      </w:r>
    </w:p>
    <w:tbl>
      <w:tblPr>
        <w:tblStyle w:val="Table"/>
        <w:tblW w:type="pct" w:w="5000"/>
        <w:tblLook w:firstRow="1" w:lastRow="0" w:firstColumn="0" w:lastColumn="0" w:noHBand="0" w:noVBand="0" w:val="0020"/>
        <w:jc w:val="start"/>
      </w:tblPr>
      <w:tblGrid>
        <w:gridCol w:w="459"/>
        <w:gridCol w:w="1262"/>
        <w:gridCol w:w="6198"/>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jc w:val="left"/>
            </w:pPr>
            <w:r>
              <w:t xml:space="preserve">Publication-Assumption-Hanke et al. 2018</w:t>
            </w:r>
          </w:p>
        </w:tc>
      </w:tr>
      <w:tr>
        <w:tc>
          <w:tcPr/>
          <w:p>
            <w:pPr>
              <w:pStyle w:val="Compact"/>
              <w:jc w:val="left"/>
            </w:pPr>
            <w:r>
              <w:t xml:space="preserve">Emax</w:t>
            </w:r>
          </w:p>
        </w:tc>
        <w:tc>
          <w:tcPr/>
          <w:p>
            <w:pPr>
              <w:pStyle w:val="Compact"/>
              <w:jc w:val="left"/>
            </w:pPr>
            <w:r>
              <w:t xml:space="preserve">0.383</w:t>
            </w:r>
          </w:p>
        </w:tc>
        <w:tc>
          <w:tcPr/>
          <w:p>
            <w:pPr>
              <w:pStyle w:val="Compact"/>
              <w:jc w:val="left"/>
            </w:pPr>
            <w:r>
              <w:t xml:space="preserve">Publication-Parameter Identification-Hanke et al. 2018</w:t>
            </w:r>
          </w:p>
        </w:tc>
      </w:tr>
    </w:tbl>
    <w:bookmarkEnd w:id="84"/>
    <w:bookmarkEnd w:id="85"/>
    <w:bookmarkStart w:id="87" w:name="induction-p-gp-greiner-1999"/>
    <w:p>
      <w:pPr>
        <w:pStyle w:val="Heading5"/>
      </w:pPr>
      <w:r>
        <w:t xml:space="preserve">Induction: P-gp-Greiner 1999</w:t>
      </w:r>
    </w:p>
    <w:p>
      <w:pPr>
        <w:pStyle w:val="FirstParagraph"/>
      </w:pPr>
      <w:r>
        <w:t xml:space="preserve">Molecule: P-gp</w:t>
      </w:r>
    </w:p>
    <w:bookmarkStart w:id="86" w:name="parameters-19"/>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EC50</w:t>
            </w:r>
          </w:p>
        </w:tc>
        <w:tc>
          <w:tcPr/>
          <w:p>
            <w:pPr>
              <w:pStyle w:val="Compact"/>
              <w:jc w:val="left"/>
            </w:pPr>
            <w:r>
              <w:t xml:space="preserve">0.34 µmol/l</w:t>
            </w:r>
          </w:p>
        </w:tc>
        <w:tc>
          <w:tcPr/>
          <w:p>
            <w:pPr>
              <w:pStyle w:val="Compact"/>
              <w:jc w:val="left"/>
            </w:pPr>
            <w:r>
              <w:t xml:space="preserve">Publication-Assumption-Hanke et al. 2018</w:t>
            </w:r>
          </w:p>
        </w:tc>
      </w:tr>
      <w:tr>
        <w:tc>
          <w:tcPr/>
          <w:p>
            <w:pPr>
              <w:pStyle w:val="Compact"/>
              <w:jc w:val="left"/>
            </w:pPr>
            <w:r>
              <w:t xml:space="preserve">Emax</w:t>
            </w:r>
          </w:p>
        </w:tc>
        <w:tc>
          <w:tcPr/>
          <w:p>
            <w:pPr>
              <w:pStyle w:val="Compact"/>
              <w:jc w:val="left"/>
            </w:pPr>
            <w:r>
              <w:t xml:space="preserve">2.5</w:t>
            </w:r>
          </w:p>
        </w:tc>
        <w:tc>
          <w:tcPr/>
          <w:p>
            <w:pPr>
              <w:pStyle w:val="Compact"/>
              <w:jc w:val="left"/>
            </w:pPr>
            <w:r>
              <w:t xml:space="preserve">Publication-Assumption-Greiner et al. 1999</w:t>
            </w:r>
          </w:p>
        </w:tc>
      </w:tr>
    </w:tbl>
    <w:bookmarkEnd w:id="86"/>
    <w:bookmarkEnd w:id="87"/>
    <w:bookmarkEnd w:id="88"/>
    <w:bookmarkEnd w:id="89"/>
    <w:bookmarkEnd w:id="90"/>
    <w:bookmarkStart w:id="97" w:name="diagnostics-plots"/>
    <w:p>
      <w:pPr>
        <w:pStyle w:val="Heading2"/>
      </w:pPr>
      <w:r>
        <w:t xml:space="preserve">Diagnostics Plots</w:t>
      </w:r>
      <w:bookmarkStart w:id="diagnostics-plots" w:name="diagnostics-plots"/>
      <w:bookmarkEnd w:id="diagnostics-plots"/>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and the second weighted residuals versus time for itraconazole, hydroxy-itraconazole, keto-itraconazole and N-desalkyl-itraconazole.</w:t>
      </w:r>
    </w:p>
    <w:br w:type="page"/>
    <w:p>
      <w:pPr>
        <w:pStyle w:val="BodyText"/>
      </w:pPr>
      <w:bookmarkStart w:id="table-3-1" w:name="table-3-1"/>
      <w:bookmarkEnd w:id="table-3-1"/>
    </w:p>
    <w:p>
      <w:pPr>
        <w:pStyle w:val="BodyText"/>
      </w:pPr>
      <w:r>
        <w:rPr>
          <w:bCs/>
          <w:b/>
        </w:rPr>
        <w:t xml:space="preserve">Table 3-1: GMFE for Rifampicin concentration in plasma/serum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Rifampicin iv</w:t>
            </w:r>
          </w:p>
        </w:tc>
        <w:tc>
          <w:tcPr/>
          <w:p>
            <w:pPr>
              <w:pStyle w:val="Compact"/>
              <w:jc w:val="left"/>
            </w:pPr>
            <w:r>
              <w:t xml:space="preserve">1.47</w:t>
            </w:r>
          </w:p>
        </w:tc>
      </w:tr>
      <w:tr>
        <w:tc>
          <w:tcPr/>
          <w:p>
            <w:pPr>
              <w:pStyle w:val="Compact"/>
              <w:jc w:val="left"/>
            </w:pPr>
            <w:r>
              <w:t xml:space="preserve">Rifampicin po</w:t>
            </w:r>
          </w:p>
        </w:tc>
        <w:tc>
          <w:tcPr/>
          <w:p>
            <w:pPr>
              <w:pStyle w:val="Compact"/>
              <w:jc w:val="left"/>
            </w:pPr>
            <w:r>
              <w:t xml:space="preserve">1.32</w:t>
            </w:r>
          </w:p>
        </w:tc>
      </w:tr>
      <w:tr>
        <w:tc>
          <w:tcPr/>
          <w:p>
            <w:pPr>
              <w:pStyle w:val="Compact"/>
              <w:jc w:val="left"/>
            </w:pPr>
            <w:r>
              <w:t xml:space="preserve">All</w:t>
            </w:r>
          </w:p>
        </w:tc>
        <w:tc>
          <w:tcPr/>
          <w:p>
            <w:pPr>
              <w:pStyle w:val="Compact"/>
              <w:jc w:val="left"/>
            </w:pPr>
            <w:r>
              <w:t xml:space="preserve">1.37</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6546371"/>
            <wp:effectExtent b="0" l="0" r="0" t="0"/>
            <wp:docPr descr="" title="" id="92" name="Picture"/>
            <a:graphic>
              <a:graphicData uri="http://schemas.openxmlformats.org/drawingml/2006/picture">
                <pic:pic>
                  <pic:nvPicPr>
                    <pic:cNvPr descr="images/006_section_results-and-discussion/008_section_diagnostics-plots/2_gof_plot_predictedVsObserved.png" id="93" name="Picture"/>
                    <pic:cNvPicPr>
                      <a:picLocks noChangeArrowheads="1" noChangeAspect="1"/>
                    </pic:cNvPicPr>
                  </pic:nvPicPr>
                  <pic:blipFill>
                    <a:blip r:embed="rId91"/>
                    <a:stretch>
                      <a:fillRect/>
                    </a:stretch>
                  </pic:blipFill>
                  <pic:spPr bwMode="auto">
                    <a:xfrm>
                      <a:off x="0" y="0"/>
                      <a:ext cx="5969000" cy="6546371"/>
                    </a:xfrm>
                    <a:prstGeom prst="rect">
                      <a:avLst/>
                    </a:prstGeom>
                    <a:noFill/>
                    <a:ln w="9525">
                      <a:noFill/>
                      <a:headEnd/>
                      <a:tailEnd/>
                    </a:ln>
                  </pic:spPr>
                </pic:pic>
              </a:graphicData>
            </a:graphic>
          </wp:inline>
        </w:drawing>
      </w:r>
    </w:p>
    <w:p>
      <w:pPr>
        <w:pStyle w:val="BodyText"/>
      </w:pPr>
      <w:r>
        <w:rPr>
          <w:bCs/>
          <w:b/>
        </w:rPr>
        <w:t xml:space="preserve">Figure 3-1: Rifampicin concentration in plasma/serum</w:t>
      </w:r>
    </w:p>
    <w:p>
      <w:pPr>
        <w:pStyle w:val="BodyText"/>
      </w:pPr>
      <w:r>
        <w:t xml:space="preserve"> </w:t>
      </w:r>
    </w:p>
    <w:br w:type="page"/>
    <w:p>
      <w:pPr>
        <w:pStyle w:val="BodyText"/>
      </w:pPr>
      <w:bookmarkStart w:id="figure-3-2" w:name="figure-3-2"/>
      <w:bookmarkEnd w:id="figure-3-2"/>
    </w:p>
    <w:p>
      <w:pPr>
        <w:pStyle w:val="BodyText"/>
      </w:pPr>
      <w:r>
        <w:drawing>
          <wp:inline>
            <wp:extent cx="5969000" cy="4339701"/>
            <wp:effectExtent b="0" l="0" r="0" t="0"/>
            <wp:docPr descr="" title="" id="95" name="Picture"/>
            <a:graphic>
              <a:graphicData uri="http://schemas.openxmlformats.org/drawingml/2006/picture">
                <pic:pic>
                  <pic:nvPicPr>
                    <pic:cNvPr descr="images/006_section_results-and-discussion/008_section_diagnostics-plots/3_gof_plot_residualsOverTime.png" id="96" name="Picture"/>
                    <pic:cNvPicPr>
                      <a:picLocks noChangeArrowheads="1" noChangeAspect="1"/>
                    </pic:cNvPicPr>
                  </pic:nvPicPr>
                  <pic:blipFill>
                    <a:blip r:embed="rId94"/>
                    <a:stretch>
                      <a:fillRect/>
                    </a:stretch>
                  </pic:blipFill>
                  <pic:spPr bwMode="auto">
                    <a:xfrm>
                      <a:off x="0" y="0"/>
                      <a:ext cx="5969000" cy="4339701"/>
                    </a:xfrm>
                    <a:prstGeom prst="rect">
                      <a:avLst/>
                    </a:prstGeom>
                    <a:noFill/>
                    <a:ln w="9525">
                      <a:noFill/>
                      <a:headEnd/>
                      <a:tailEnd/>
                    </a:ln>
                  </pic:spPr>
                </pic:pic>
              </a:graphicData>
            </a:graphic>
          </wp:inline>
        </w:drawing>
      </w:r>
    </w:p>
    <w:p>
      <w:pPr>
        <w:pStyle w:val="BodyText"/>
      </w:pPr>
      <w:r>
        <w:rPr>
          <w:bCs/>
          <w:b/>
        </w:rPr>
        <w:t xml:space="preserve">Figure 3-2: Rifampicin concentration in plasma/serum</w:t>
      </w:r>
    </w:p>
    <w:p>
      <w:pPr>
        <w:pStyle w:val="BodyText"/>
      </w:pPr>
      <w:r>
        <w:t xml:space="preserve"> </w:t>
      </w:r>
    </w:p>
    <w:bookmarkEnd w:id="97"/>
    <w:bookmarkStart w:id="149" w:name="concentration-time-profiles"/>
    <w:p>
      <w:pPr>
        <w:pStyle w:val="Heading2"/>
      </w:pPr>
      <w:r>
        <w:t xml:space="preserve">Concentration-Time Profiles</w:t>
      </w:r>
      <w:bookmarkStart w:id="ct-profiles" w:name="ct-profiles"/>
      <w:bookmarkEnd w:id="ct-profiles"/>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r w:type="page"/>
    <w:p>
      <w:pPr>
        <w:pStyle w:val="BodyText"/>
      </w:pPr>
      <w:bookmarkStart w:id="figure-3-3" w:name="figure-3-3"/>
      <w:bookmarkEnd w:id="figure-3-3"/>
    </w:p>
    <w:p>
      <w:pPr>
        <w:pStyle w:val="BodyText"/>
      </w:pPr>
      <w:r>
        <w:drawing>
          <wp:inline>
            <wp:extent cx="5969000" cy="4853513"/>
            <wp:effectExtent b="0" l="0" r="0" t="0"/>
            <wp:docPr descr="" title="" id="99" name="Picture"/>
            <a:graphic>
              <a:graphicData uri="http://schemas.openxmlformats.org/drawingml/2006/picture">
                <pic:pic>
                  <pic:nvPicPr>
                    <pic:cNvPr descr="images/006_section_results-and-discussion/009_section_ct-profiles/1_time_profile_plot_Rifampicin_Rifampicin_iv_300_mg__0_5_h_.png" id="100" name="Picture"/>
                    <pic:cNvPicPr>
                      <a:picLocks noChangeArrowheads="1" noChangeAspect="1"/>
                    </pic:cNvPicPr>
                  </pic:nvPicPr>
                  <pic:blipFill>
                    <a:blip r:embed="rId98"/>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3-3: Rifampicin iv 300 mg (0.5 h)</w:t>
      </w:r>
    </w:p>
    <w:p>
      <w:pPr>
        <w:pStyle w:val="BodyText"/>
      </w:pPr>
      <w:r>
        <w:t xml:space="preserve"> </w:t>
      </w:r>
    </w:p>
    <w:br w:type="page"/>
    <w:p>
      <w:pPr>
        <w:pStyle w:val="BodyText"/>
      </w:pPr>
      <w:bookmarkStart w:id="figure-3-4" w:name="figure-3-4"/>
      <w:bookmarkEnd w:id="figure-3-4"/>
    </w:p>
    <w:p>
      <w:pPr>
        <w:pStyle w:val="BodyText"/>
      </w:pPr>
      <w:r>
        <w:drawing>
          <wp:inline>
            <wp:extent cx="5969000" cy="4853513"/>
            <wp:effectExtent b="0" l="0" r="0" t="0"/>
            <wp:docPr descr="" title="" id="102" name="Picture"/>
            <a:graphic>
              <a:graphicData uri="http://schemas.openxmlformats.org/drawingml/2006/picture">
                <pic:pic>
                  <pic:nvPicPr>
                    <pic:cNvPr descr="images/006_section_results-and-discussion/009_section_ct-profiles/2_time_profile_plot_Rifampicin_Rifampicin_iv_300_mg__3_h_.png" id="103" name="Picture"/>
                    <pic:cNvPicPr>
                      <a:picLocks noChangeArrowheads="1" noChangeAspect="1"/>
                    </pic:cNvPicPr>
                  </pic:nvPicPr>
                  <pic:blipFill>
                    <a:blip r:embed="rId101"/>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3-4: Rifampicin iv 300 mg (3 h)</w:t>
      </w:r>
    </w:p>
    <w:p>
      <w:pPr>
        <w:pStyle w:val="BodyText"/>
      </w:pPr>
      <w:r>
        <w:t xml:space="preserve"> </w:t>
      </w:r>
    </w:p>
    <w:br w:type="page"/>
    <w:p>
      <w:pPr>
        <w:pStyle w:val="BodyText"/>
      </w:pPr>
      <w:bookmarkStart w:id="figure-3-5" w:name="figure-3-5"/>
      <w:bookmarkEnd w:id="figure-3-5"/>
    </w:p>
    <w:p>
      <w:pPr>
        <w:pStyle w:val="BodyText"/>
      </w:pPr>
      <w:r>
        <w:drawing>
          <wp:inline>
            <wp:extent cx="5969000" cy="4853513"/>
            <wp:effectExtent b="0" l="0" r="0" t="0"/>
            <wp:docPr descr="" title="" id="105" name="Picture"/>
            <a:graphic>
              <a:graphicData uri="http://schemas.openxmlformats.org/drawingml/2006/picture">
                <pic:pic>
                  <pic:nvPicPr>
                    <pic:cNvPr descr="images/006_section_results-and-discussion/009_section_ct-profiles/3_time_profile_plot_Rifampicin_Rifampicin_iv_300_mg__3_h_.png" id="106" name="Picture"/>
                    <pic:cNvPicPr>
                      <a:picLocks noChangeArrowheads="1" noChangeAspect="1"/>
                    </pic:cNvPicPr>
                  </pic:nvPicPr>
                  <pic:blipFill>
                    <a:blip r:embed="rId10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3-5: Rifampicin iv 300 mg (3 h) - Urine</w:t>
      </w:r>
    </w:p>
    <w:p>
      <w:pPr>
        <w:pStyle w:val="BodyText"/>
      </w:pPr>
      <w:r>
        <w:t xml:space="preserve"> </w:t>
      </w:r>
    </w:p>
    <w:br w:type="page"/>
    <w:p>
      <w:pPr>
        <w:pStyle w:val="BodyText"/>
      </w:pPr>
      <w:bookmarkStart w:id="figure-3-6" w:name="figure-3-6"/>
      <w:bookmarkEnd w:id="figure-3-6"/>
    </w:p>
    <w:p>
      <w:pPr>
        <w:pStyle w:val="BodyText"/>
      </w:pPr>
      <w:r>
        <w:drawing>
          <wp:inline>
            <wp:extent cx="5969000" cy="4853513"/>
            <wp:effectExtent b="0" l="0" r="0" t="0"/>
            <wp:docPr descr="" title="" id="108" name="Picture"/>
            <a:graphic>
              <a:graphicData uri="http://schemas.openxmlformats.org/drawingml/2006/picture">
                <pic:pic>
                  <pic:nvPicPr>
                    <pic:cNvPr descr="images/006_section_results-and-discussion/009_section_ct-profiles/4_time_profile_plot_Rifampicin_Rifampicin_iv_450_mg__3_h_.png" id="109" name="Picture"/>
                    <pic:cNvPicPr>
                      <a:picLocks noChangeArrowheads="1" noChangeAspect="1"/>
                    </pic:cNvPicPr>
                  </pic:nvPicPr>
                  <pic:blipFill>
                    <a:blip r:embed="rId10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3-6: Rifampicin iv 450 mg (3 h)</w:t>
      </w:r>
    </w:p>
    <w:p>
      <w:pPr>
        <w:pStyle w:val="BodyText"/>
      </w:pPr>
      <w:r>
        <w:t xml:space="preserve"> </w:t>
      </w:r>
    </w:p>
    <w:br w:type="page"/>
    <w:p>
      <w:pPr>
        <w:pStyle w:val="BodyText"/>
      </w:pPr>
      <w:bookmarkStart w:id="figure-3-7" w:name="figure-3-7"/>
      <w:bookmarkEnd w:id="figure-3-7"/>
    </w:p>
    <w:p>
      <w:pPr>
        <w:pStyle w:val="BodyText"/>
      </w:pPr>
      <w:r>
        <w:drawing>
          <wp:inline>
            <wp:extent cx="5969000" cy="4853513"/>
            <wp:effectExtent b="0" l="0" r="0" t="0"/>
            <wp:docPr descr="" title="" id="111" name="Picture"/>
            <a:graphic>
              <a:graphicData uri="http://schemas.openxmlformats.org/drawingml/2006/picture">
                <pic:pic>
                  <pic:nvPicPr>
                    <pic:cNvPr descr="images/006_section_results-and-discussion/009_section_ct-profiles/5_time_profile_plot_Rifampicin_Rifampicin_iv_450_mg__3_h_.png" id="112" name="Picture"/>
                    <pic:cNvPicPr>
                      <a:picLocks noChangeArrowheads="1" noChangeAspect="1"/>
                    </pic:cNvPicPr>
                  </pic:nvPicPr>
                  <pic:blipFill>
                    <a:blip r:embed="rId110"/>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3-7: Rifampicin iv 450 mg (3 h) - Urine</w:t>
      </w:r>
    </w:p>
    <w:p>
      <w:pPr>
        <w:pStyle w:val="BodyText"/>
      </w:pPr>
      <w:r>
        <w:t xml:space="preserve"> </w:t>
      </w:r>
    </w:p>
    <w:br w:type="page"/>
    <w:p>
      <w:pPr>
        <w:pStyle w:val="BodyText"/>
      </w:pPr>
      <w:bookmarkStart w:id="figure-3-8" w:name="figure-3-8"/>
      <w:bookmarkEnd w:id="figure-3-8"/>
    </w:p>
    <w:p>
      <w:pPr>
        <w:pStyle w:val="BodyText"/>
      </w:pPr>
      <w:r>
        <w:drawing>
          <wp:inline>
            <wp:extent cx="5969000" cy="4853513"/>
            <wp:effectExtent b="0" l="0" r="0" t="0"/>
            <wp:docPr descr="" title="" id="114" name="Picture"/>
            <a:graphic>
              <a:graphicData uri="http://schemas.openxmlformats.org/drawingml/2006/picture">
                <pic:pic>
                  <pic:nvPicPr>
                    <pic:cNvPr descr="images/006_section_results-and-discussion/009_section_ct-profiles/6_time_profile_plot_Rifampicin_Rifampicin_iv_600_mg__0_5_h_.png" id="115" name="Picture"/>
                    <pic:cNvPicPr>
                      <a:picLocks noChangeArrowheads="1" noChangeAspect="1"/>
                    </pic:cNvPicPr>
                  </pic:nvPicPr>
                  <pic:blipFill>
                    <a:blip r:embed="rId113"/>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3-8: Rifampicin iv 600 mg (0.5 h)</w:t>
      </w:r>
    </w:p>
    <w:p>
      <w:pPr>
        <w:pStyle w:val="BodyText"/>
      </w:pPr>
      <w:r>
        <w:t xml:space="preserve"> </w:t>
      </w:r>
    </w:p>
    <w:br w:type="page"/>
    <w:p>
      <w:pPr>
        <w:pStyle w:val="BodyText"/>
      </w:pPr>
      <w:bookmarkStart w:id="figure-3-9" w:name="figure-3-9"/>
      <w:bookmarkEnd w:id="figure-3-9"/>
    </w:p>
    <w:p>
      <w:pPr>
        <w:pStyle w:val="BodyText"/>
      </w:pPr>
      <w:r>
        <w:drawing>
          <wp:inline>
            <wp:extent cx="5969000" cy="4853513"/>
            <wp:effectExtent b="0" l="0" r="0" t="0"/>
            <wp:docPr descr="" title="" id="117" name="Picture"/>
            <a:graphic>
              <a:graphicData uri="http://schemas.openxmlformats.org/drawingml/2006/picture">
                <pic:pic>
                  <pic:nvPicPr>
                    <pic:cNvPr descr="images/006_section_results-and-discussion/009_section_ct-profiles/7_time_profile_plot_Rifampicin_Rifampicin_iv_600_mg__3_h_.png" id="118" name="Picture"/>
                    <pic:cNvPicPr>
                      <a:picLocks noChangeArrowheads="1" noChangeAspect="1"/>
                    </pic:cNvPicPr>
                  </pic:nvPicPr>
                  <pic:blipFill>
                    <a:blip r:embed="rId116"/>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3-9: Rifampicin iv 600 mg (3 h)</w:t>
      </w:r>
    </w:p>
    <w:p>
      <w:pPr>
        <w:pStyle w:val="BodyText"/>
      </w:pPr>
      <w:r>
        <w:t xml:space="preserve"> </w:t>
      </w:r>
    </w:p>
    <w:br w:type="page"/>
    <w:p>
      <w:pPr>
        <w:pStyle w:val="BodyText"/>
      </w:pPr>
      <w:bookmarkStart w:id="figure-3-10" w:name="figure-3-10"/>
      <w:bookmarkEnd w:id="figure-3-10"/>
    </w:p>
    <w:p>
      <w:pPr>
        <w:pStyle w:val="BodyText"/>
      </w:pPr>
      <w:r>
        <w:drawing>
          <wp:inline>
            <wp:extent cx="5969000" cy="5464738"/>
            <wp:effectExtent b="0" l="0" r="0" t="0"/>
            <wp:docPr descr="" title="" id="120" name="Picture"/>
            <a:graphic>
              <a:graphicData uri="http://schemas.openxmlformats.org/drawingml/2006/picture">
                <pic:pic>
                  <pic:nvPicPr>
                    <pic:cNvPr descr="images/006_section_results-and-discussion/009_section_ct-profiles/8_time_profile_plot_Rifampicin_Rifampicin_iv_600_mg__3_h_.png" id="121" name="Picture"/>
                    <pic:cNvPicPr>
                      <a:picLocks noChangeArrowheads="1" noChangeAspect="1"/>
                    </pic:cNvPicPr>
                  </pic:nvPicPr>
                  <pic:blipFill>
                    <a:blip r:embed="rId119"/>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3-10: Rifampicin iv 600 mg (3 h) - Urine</w:t>
      </w:r>
    </w:p>
    <w:p>
      <w:pPr>
        <w:pStyle w:val="BodyText"/>
      </w:pPr>
      <w:r>
        <w:t xml:space="preserve"> </w:t>
      </w:r>
    </w:p>
    <w:br w:type="page"/>
    <w:p>
      <w:pPr>
        <w:pStyle w:val="BodyText"/>
      </w:pPr>
      <w:bookmarkStart w:id="figure-3-11" w:name="figure-3-11"/>
      <w:bookmarkEnd w:id="figure-3-11"/>
    </w:p>
    <w:p>
      <w:pPr>
        <w:pStyle w:val="BodyText"/>
      </w:pPr>
      <w:r>
        <w:drawing>
          <wp:inline>
            <wp:extent cx="5969000" cy="5602264"/>
            <wp:effectExtent b="0" l="0" r="0" t="0"/>
            <wp:docPr descr="" title="" id="123" name="Picture"/>
            <a:graphic>
              <a:graphicData uri="http://schemas.openxmlformats.org/drawingml/2006/picture">
                <pic:pic>
                  <pic:nvPicPr>
                    <pic:cNvPr descr="images/006_section_results-and-discussion/009_section_ct-profiles/9_time_profile_plot_Rifampicin_Rifampicin_iv_600_mg__3_h__MD_OD__7_days_.png" id="124" name="Picture"/>
                    <pic:cNvPicPr>
                      <a:picLocks noChangeArrowheads="1" noChangeAspect="1"/>
                    </pic:cNvPicPr>
                  </pic:nvPicPr>
                  <pic:blipFill>
                    <a:blip r:embed="rId122"/>
                    <a:stretch>
                      <a:fillRect/>
                    </a:stretch>
                  </pic:blipFill>
                  <pic:spPr bwMode="auto">
                    <a:xfrm>
                      <a:off x="0" y="0"/>
                      <a:ext cx="5969000" cy="5602264"/>
                    </a:xfrm>
                    <a:prstGeom prst="rect">
                      <a:avLst/>
                    </a:prstGeom>
                    <a:noFill/>
                    <a:ln w="9525">
                      <a:noFill/>
                      <a:headEnd/>
                      <a:tailEnd/>
                    </a:ln>
                  </pic:spPr>
                </pic:pic>
              </a:graphicData>
            </a:graphic>
          </wp:inline>
        </w:drawing>
      </w:r>
    </w:p>
    <w:p>
      <w:pPr>
        <w:pStyle w:val="BodyText"/>
      </w:pPr>
      <w:r>
        <w:rPr>
          <w:bCs/>
          <w:b/>
        </w:rPr>
        <w:t xml:space="preserve">Figure 3-11: Rifampicin iv 600 mg (3 h) MD OD (7 days)</w:t>
      </w:r>
    </w:p>
    <w:p>
      <w:pPr>
        <w:pStyle w:val="BodyText"/>
      </w:pPr>
      <w:r>
        <w:t xml:space="preserve"> </w:t>
      </w:r>
    </w:p>
    <w:br w:type="page"/>
    <w:p>
      <w:pPr>
        <w:pStyle w:val="BodyText"/>
      </w:pPr>
      <w:bookmarkStart w:id="figure-3-12" w:name="figure-3-12"/>
      <w:bookmarkEnd w:id="figure-3-12"/>
    </w:p>
    <w:p>
      <w:pPr>
        <w:pStyle w:val="BodyText"/>
      </w:pPr>
      <w:r>
        <w:drawing>
          <wp:inline>
            <wp:extent cx="5969000" cy="6075964"/>
            <wp:effectExtent b="0" l="0" r="0" t="0"/>
            <wp:docPr descr="" title="" id="126" name="Picture"/>
            <a:graphic>
              <a:graphicData uri="http://schemas.openxmlformats.org/drawingml/2006/picture">
                <pic:pic>
                  <pic:nvPicPr>
                    <pic:cNvPr descr="images/006_section_results-and-discussion/009_section_ct-profiles/10_time_profile_plot_Rifampicin_Rifampicin_po_300_mg.png" id="127" name="Picture"/>
                    <pic:cNvPicPr>
                      <a:picLocks noChangeArrowheads="1" noChangeAspect="1"/>
                    </pic:cNvPicPr>
                  </pic:nvPicPr>
                  <pic:blipFill>
                    <a:blip r:embed="rId125"/>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3-12: Rifampicin po 300 mg</w:t>
      </w:r>
    </w:p>
    <w:p>
      <w:pPr>
        <w:pStyle w:val="BodyText"/>
      </w:pPr>
      <w:r>
        <w:t xml:space="preserve"> </w:t>
      </w:r>
    </w:p>
    <w:br w:type="page"/>
    <w:p>
      <w:pPr>
        <w:pStyle w:val="BodyText"/>
      </w:pPr>
      <w:bookmarkStart w:id="figure-3-13" w:name="figure-3-13"/>
      <w:bookmarkEnd w:id="figure-3-13"/>
    </w:p>
    <w:p>
      <w:pPr>
        <w:pStyle w:val="BodyText"/>
      </w:pPr>
      <w:r>
        <w:drawing>
          <wp:inline>
            <wp:extent cx="5969000" cy="6075964"/>
            <wp:effectExtent b="0" l="0" r="0" t="0"/>
            <wp:docPr descr="" title="" id="129" name="Picture"/>
            <a:graphic>
              <a:graphicData uri="http://schemas.openxmlformats.org/drawingml/2006/picture">
                <pic:pic>
                  <pic:nvPicPr>
                    <pic:cNvPr descr="images/006_section_results-and-discussion/009_section_ct-profiles/11_time_profile_plot_Rifampicin_Rifampicin_po_450_mg.png" id="130" name="Picture"/>
                    <pic:cNvPicPr>
                      <a:picLocks noChangeArrowheads="1" noChangeAspect="1"/>
                    </pic:cNvPicPr>
                  </pic:nvPicPr>
                  <pic:blipFill>
                    <a:blip r:embed="rId128"/>
                    <a:stretch>
                      <a:fillRect/>
                    </a:stretch>
                  </pic:blipFill>
                  <pic:spPr bwMode="auto">
                    <a:xfrm>
                      <a:off x="0" y="0"/>
                      <a:ext cx="5969000" cy="6075964"/>
                    </a:xfrm>
                    <a:prstGeom prst="rect">
                      <a:avLst/>
                    </a:prstGeom>
                    <a:noFill/>
                    <a:ln w="9525">
                      <a:noFill/>
                      <a:headEnd/>
                      <a:tailEnd/>
                    </a:ln>
                  </pic:spPr>
                </pic:pic>
              </a:graphicData>
            </a:graphic>
          </wp:inline>
        </w:drawing>
      </w:r>
    </w:p>
    <w:p>
      <w:pPr>
        <w:pStyle w:val="BodyText"/>
      </w:pPr>
      <w:r>
        <w:rPr>
          <w:bCs/>
          <w:b/>
        </w:rPr>
        <w:t xml:space="preserve">Figure 3-13: Rifampicin po 450 mg</w:t>
      </w:r>
    </w:p>
    <w:p>
      <w:pPr>
        <w:pStyle w:val="BodyText"/>
      </w:pPr>
      <w:r>
        <w:t xml:space="preserve"> </w:t>
      </w:r>
    </w:p>
    <w:br w:type="page"/>
    <w:p>
      <w:pPr>
        <w:pStyle w:val="BodyText"/>
      </w:pPr>
      <w:bookmarkStart w:id="figure-3-14" w:name="figure-3-14"/>
      <w:bookmarkEnd w:id="figure-3-14"/>
    </w:p>
    <w:p>
      <w:pPr>
        <w:pStyle w:val="BodyText"/>
      </w:pPr>
      <w:r>
        <w:drawing>
          <wp:inline>
            <wp:extent cx="5969000" cy="5464738"/>
            <wp:effectExtent b="0" l="0" r="0" t="0"/>
            <wp:docPr descr="" title="" id="132" name="Picture"/>
            <a:graphic>
              <a:graphicData uri="http://schemas.openxmlformats.org/drawingml/2006/picture">
                <pic:pic>
                  <pic:nvPicPr>
                    <pic:cNvPr descr="images/006_section_results-and-discussion/009_section_ct-profiles/12_time_profile_plot_Rifampicin_Rifampicin_po_450_mg_MD_OD__7_days_.png" id="133" name="Picture"/>
                    <pic:cNvPicPr>
                      <a:picLocks noChangeArrowheads="1" noChangeAspect="1"/>
                    </pic:cNvPicPr>
                  </pic:nvPicPr>
                  <pic:blipFill>
                    <a:blip r:embed="rId131"/>
                    <a:stretch>
                      <a:fillRect/>
                    </a:stretch>
                  </pic:blipFill>
                  <pic:spPr bwMode="auto">
                    <a:xfrm>
                      <a:off x="0" y="0"/>
                      <a:ext cx="5969000" cy="5464738"/>
                    </a:xfrm>
                    <a:prstGeom prst="rect">
                      <a:avLst/>
                    </a:prstGeom>
                    <a:noFill/>
                    <a:ln w="9525">
                      <a:noFill/>
                      <a:headEnd/>
                      <a:tailEnd/>
                    </a:ln>
                  </pic:spPr>
                </pic:pic>
              </a:graphicData>
            </a:graphic>
          </wp:inline>
        </w:drawing>
      </w:r>
    </w:p>
    <w:p>
      <w:pPr>
        <w:pStyle w:val="BodyText"/>
      </w:pPr>
      <w:r>
        <w:rPr>
          <w:bCs/>
          <w:b/>
        </w:rPr>
        <w:t xml:space="preserve">Figure 3-14: Rifampicin po 450 mg MD OD (7 days)</w:t>
      </w:r>
    </w:p>
    <w:p>
      <w:pPr>
        <w:pStyle w:val="BodyText"/>
      </w:pPr>
      <w:r>
        <w:t xml:space="preserve"> </w:t>
      </w:r>
    </w:p>
    <w:br w:type="page"/>
    <w:p>
      <w:pPr>
        <w:pStyle w:val="BodyText"/>
      </w:pPr>
      <w:bookmarkStart w:id="figure-3-15" w:name="figure-3-15"/>
      <w:bookmarkEnd w:id="figure-3-15"/>
    </w:p>
    <w:p>
      <w:pPr>
        <w:pStyle w:val="BodyText"/>
      </w:pPr>
      <w:r>
        <w:drawing>
          <wp:inline>
            <wp:extent cx="5969000" cy="4853513"/>
            <wp:effectExtent b="0" l="0" r="0" t="0"/>
            <wp:docPr descr="" title="" id="135" name="Picture"/>
            <a:graphic>
              <a:graphicData uri="http://schemas.openxmlformats.org/drawingml/2006/picture">
                <pic:pic>
                  <pic:nvPicPr>
                    <pic:cNvPr descr="images/006_section_results-and-discussion/009_section_ct-profiles/13_time_profile_plot_Rifampicin_Rifampicin_po_450_mg_MD_OD__7_days_.png" id="136" name="Picture"/>
                    <pic:cNvPicPr>
                      <a:picLocks noChangeArrowheads="1" noChangeAspect="1"/>
                    </pic:cNvPicPr>
                  </pic:nvPicPr>
                  <pic:blipFill>
                    <a:blip r:embed="rId134"/>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3-15: Rifampicin po 450 mg MD OD (7 days) - Urine</w:t>
      </w:r>
    </w:p>
    <w:p>
      <w:pPr>
        <w:pStyle w:val="BodyText"/>
      </w:pPr>
      <w:r>
        <w:t xml:space="preserve"> </w:t>
      </w:r>
    </w:p>
    <w:br w:type="page"/>
    <w:p>
      <w:pPr>
        <w:pStyle w:val="BodyText"/>
      </w:pPr>
      <w:bookmarkStart w:id="figure-3-16" w:name="figure-3-16"/>
      <w:bookmarkEnd w:id="figure-3-16"/>
    </w:p>
    <w:p>
      <w:pPr>
        <w:pStyle w:val="BodyText"/>
      </w:pPr>
      <w:r>
        <w:drawing>
          <wp:inline>
            <wp:extent cx="5969000" cy="4853513"/>
            <wp:effectExtent b="0" l="0" r="0" t="0"/>
            <wp:docPr descr="" title="" id="138" name="Picture"/>
            <a:graphic>
              <a:graphicData uri="http://schemas.openxmlformats.org/drawingml/2006/picture">
                <pic:pic>
                  <pic:nvPicPr>
                    <pic:cNvPr descr="images/006_section_results-and-discussion/009_section_ct-profiles/14_time_profile_plot_Rifampicin_Rifampicin_po_450_mg_MD_OD__7_days_.png" id="139" name="Picture"/>
                    <pic:cNvPicPr>
                      <a:picLocks noChangeArrowheads="1" noChangeAspect="1"/>
                    </pic:cNvPicPr>
                  </pic:nvPicPr>
                  <pic:blipFill>
                    <a:blip r:embed="rId137"/>
                    <a:stretch>
                      <a:fillRect/>
                    </a:stretch>
                  </pic:blipFill>
                  <pic:spPr bwMode="auto">
                    <a:xfrm>
                      <a:off x="0" y="0"/>
                      <a:ext cx="5969000" cy="4853513"/>
                    </a:xfrm>
                    <a:prstGeom prst="rect">
                      <a:avLst/>
                    </a:prstGeom>
                    <a:noFill/>
                    <a:ln w="9525">
                      <a:noFill/>
                      <a:headEnd/>
                      <a:tailEnd/>
                    </a:ln>
                  </pic:spPr>
                </pic:pic>
              </a:graphicData>
            </a:graphic>
          </wp:inline>
        </w:drawing>
      </w:r>
    </w:p>
    <w:p>
      <w:pPr>
        <w:pStyle w:val="BodyText"/>
      </w:pPr>
      <w:r>
        <w:rPr>
          <w:bCs/>
          <w:b/>
        </w:rPr>
        <w:t xml:space="preserve">Figure 3-16: Rifampicin po 450 mg MD OD (7 days) - Bile</w:t>
      </w:r>
    </w:p>
    <w:p>
      <w:pPr>
        <w:pStyle w:val="BodyText"/>
      </w:pPr>
      <w:r>
        <w:t xml:space="preserve"> </w:t>
      </w:r>
    </w:p>
    <w:br w:type="page"/>
    <w:p>
      <w:pPr>
        <w:pStyle w:val="BodyText"/>
      </w:pPr>
      <w:bookmarkStart w:id="figure-3-17" w:name="figure-3-17"/>
      <w:bookmarkEnd w:id="figure-3-17"/>
    </w:p>
    <w:p>
      <w:pPr>
        <w:pStyle w:val="BodyText"/>
      </w:pPr>
      <w:r>
        <w:drawing>
          <wp:inline>
            <wp:extent cx="5969000" cy="7909641"/>
            <wp:effectExtent b="0" l="0" r="0" t="0"/>
            <wp:docPr descr="" title="" id="141" name="Picture"/>
            <a:graphic>
              <a:graphicData uri="http://schemas.openxmlformats.org/drawingml/2006/picture">
                <pic:pic>
                  <pic:nvPicPr>
                    <pic:cNvPr descr="images/006_section_results-and-discussion/009_section_ct-profiles/15_time_profile_plot_Rifampicin_Rifampicin_po_600_mg.png" id="142" name="Picture"/>
                    <pic:cNvPicPr>
                      <a:picLocks noChangeArrowheads="1" noChangeAspect="1"/>
                    </pic:cNvPicPr>
                  </pic:nvPicPr>
                  <pic:blipFill>
                    <a:blip r:embed="rId140"/>
                    <a:stretch>
                      <a:fillRect/>
                    </a:stretch>
                  </pic:blipFill>
                  <pic:spPr bwMode="auto">
                    <a:xfrm>
                      <a:off x="0" y="0"/>
                      <a:ext cx="5969000" cy="7909641"/>
                    </a:xfrm>
                    <a:prstGeom prst="rect">
                      <a:avLst/>
                    </a:prstGeom>
                    <a:noFill/>
                    <a:ln w="9525">
                      <a:noFill/>
                      <a:headEnd/>
                      <a:tailEnd/>
                    </a:ln>
                  </pic:spPr>
                </pic:pic>
              </a:graphicData>
            </a:graphic>
          </wp:inline>
        </w:drawing>
      </w:r>
    </w:p>
    <w:p>
      <w:pPr>
        <w:pStyle w:val="BodyText"/>
      </w:pPr>
      <w:r>
        <w:rPr>
          <w:bCs/>
          <w:b/>
        </w:rPr>
        <w:t xml:space="preserve">Figure 3-17: Rifampicin po 600 mg</w:t>
      </w:r>
    </w:p>
    <w:p>
      <w:pPr>
        <w:pStyle w:val="BodyText"/>
      </w:pPr>
      <w:r>
        <w:t xml:space="preserve"> </w:t>
      </w:r>
    </w:p>
    <w:br w:type="page"/>
    <w:p>
      <w:pPr>
        <w:pStyle w:val="BodyText"/>
      </w:pPr>
      <w:bookmarkStart w:id="figure-3-18" w:name="figure-3-18"/>
      <w:bookmarkEnd w:id="figure-3-18"/>
    </w:p>
    <w:p>
      <w:pPr>
        <w:pStyle w:val="BodyText"/>
      </w:pPr>
      <w:r>
        <w:drawing>
          <wp:inline>
            <wp:extent cx="5969000" cy="4715987"/>
            <wp:effectExtent b="0" l="0" r="0" t="0"/>
            <wp:docPr descr="" title="" id="144" name="Picture"/>
            <a:graphic>
              <a:graphicData uri="http://schemas.openxmlformats.org/drawingml/2006/picture">
                <pic:pic>
                  <pic:nvPicPr>
                    <pic:cNvPr descr="images/006_section_results-and-discussion/009_section_ct-profiles/16_time_profile_plot_Rifampicin_Rifampicin_po_600_mg.png" id="145" name="Picture"/>
                    <pic:cNvPicPr>
                      <a:picLocks noChangeArrowheads="1" noChangeAspect="1"/>
                    </pic:cNvPicPr>
                  </pic:nvPicPr>
                  <pic:blipFill>
                    <a:blip r:embed="rId143"/>
                    <a:stretch>
                      <a:fillRect/>
                    </a:stretch>
                  </pic:blipFill>
                  <pic:spPr bwMode="auto">
                    <a:xfrm>
                      <a:off x="0" y="0"/>
                      <a:ext cx="5969000" cy="4715987"/>
                    </a:xfrm>
                    <a:prstGeom prst="rect">
                      <a:avLst/>
                    </a:prstGeom>
                    <a:noFill/>
                    <a:ln w="9525">
                      <a:noFill/>
                      <a:headEnd/>
                      <a:tailEnd/>
                    </a:ln>
                  </pic:spPr>
                </pic:pic>
              </a:graphicData>
            </a:graphic>
          </wp:inline>
        </w:drawing>
      </w:r>
    </w:p>
    <w:p>
      <w:pPr>
        <w:pStyle w:val="BodyText"/>
      </w:pPr>
      <w:r>
        <w:rPr>
          <w:bCs/>
          <w:b/>
        </w:rPr>
        <w:t xml:space="preserve">Figure 3-18: Rifampicin po 600 mg</w:t>
      </w:r>
    </w:p>
    <w:p>
      <w:pPr>
        <w:pStyle w:val="BodyText"/>
      </w:pPr>
      <w:r>
        <w:t xml:space="preserve"> </w:t>
      </w:r>
    </w:p>
    <w:br w:type="page"/>
    <w:p>
      <w:pPr>
        <w:pStyle w:val="BodyText"/>
      </w:pPr>
      <w:bookmarkStart w:id="figure-3-19" w:name="figure-3-19"/>
      <w:bookmarkEnd w:id="figure-3-19"/>
    </w:p>
    <w:p>
      <w:pPr>
        <w:pStyle w:val="BodyText"/>
      </w:pPr>
      <w:r>
        <w:drawing>
          <wp:inline>
            <wp:extent cx="5969000" cy="8520866"/>
            <wp:effectExtent b="0" l="0" r="0" t="0"/>
            <wp:docPr descr="" title="" id="147" name="Picture"/>
            <a:graphic>
              <a:graphicData uri="http://schemas.openxmlformats.org/drawingml/2006/picture">
                <pic:pic>
                  <pic:nvPicPr>
                    <pic:cNvPr descr="images/006_section_results-and-discussion/009_section_ct-profiles/17_time_profile_plot_Rifampicin_Rifampicin_po_600_mg_MD_OD__7_days_.png" id="148" name="Picture"/>
                    <pic:cNvPicPr>
                      <a:picLocks noChangeArrowheads="1" noChangeAspect="1"/>
                    </pic:cNvPicPr>
                  </pic:nvPicPr>
                  <pic:blipFill>
                    <a:blip r:embed="rId146"/>
                    <a:stretch>
                      <a:fillRect/>
                    </a:stretch>
                  </pic:blipFill>
                  <pic:spPr bwMode="auto">
                    <a:xfrm>
                      <a:off x="0" y="0"/>
                      <a:ext cx="5969000" cy="8520866"/>
                    </a:xfrm>
                    <a:prstGeom prst="rect">
                      <a:avLst/>
                    </a:prstGeom>
                    <a:noFill/>
                    <a:ln w="9525">
                      <a:noFill/>
                      <a:headEnd/>
                      <a:tailEnd/>
                    </a:ln>
                  </pic:spPr>
                </pic:pic>
              </a:graphicData>
            </a:graphic>
          </wp:inline>
        </w:drawing>
      </w:r>
    </w:p>
    <w:p>
      <w:pPr>
        <w:pStyle w:val="BodyText"/>
      </w:pPr>
      <w:r>
        <w:rPr>
          <w:bCs/>
          <w:b/>
        </w:rPr>
        <w:t xml:space="preserve">Figure 3-19: Rifampicin po 600 mg MD OD (7 days)</w:t>
      </w:r>
    </w:p>
    <w:p>
      <w:pPr>
        <w:pStyle w:val="BodyText"/>
      </w:pPr>
      <w:r>
        <w:t xml:space="preserve"> </w:t>
      </w:r>
    </w:p>
    <w:bookmarkEnd w:id="149"/>
    <w:bookmarkEnd w:id="150"/>
    <w:bookmarkStart w:id="151" w:name="conclusion"/>
    <w:p>
      <w:pPr>
        <w:pStyle w:val="Heading1"/>
      </w:pPr>
      <w:r>
        <w:t xml:space="preserve">Conclusion</w:t>
      </w:r>
      <w:bookmarkStart w:id="conclusion" w:name="conclusion"/>
      <w:bookmarkEnd w:id="conclusion"/>
    </w:p>
    <w:p>
      <w:pPr>
        <w:pStyle w:val="FirstParagraph"/>
      </w:pPr>
      <w:r>
        <w:t xml:space="preserve">The herein presented PBPK model adequately describes the pharmacokinetics of rifampicin in adults. Little is known on the exact mass balance and the full metabolic profile of rifampicin. In this PBPK model, the implemented processes are those that were considered most vital to describe the pharmacokinetics of rifampicin and that could be informed either via</w:t>
      </w:r>
      <w:r>
        <w:t xml:space="preserve"> </w:t>
      </w:r>
      <w:r>
        <w:rPr>
          <w:iCs/>
          <w:i/>
        </w:rPr>
        <w:t xml:space="preserve">in vitro</w:t>
      </w:r>
      <w:r>
        <w:t xml:space="preserve"> </w:t>
      </w:r>
      <w:r>
        <w:t xml:space="preserve">data or via parameter optimization based on clinical PK data.</w:t>
      </w:r>
    </w:p>
    <w:p>
      <w:pPr>
        <w:pStyle w:val="BodyText"/>
      </w:pPr>
      <w:r>
        <w:t xml:space="preserve">The herein presented quantification of induction processes of OATP1B1 and AADAC are purely based on parameter optimization to describe auto-induction phenomena of rifampicin. The herein presented induction process of P-gp is based on</w:t>
      </w:r>
      <w:r>
        <w:t xml:space="preserve"> </w:t>
      </w:r>
      <w:r>
        <w:rPr>
          <w:iCs/>
          <w:i/>
        </w:rPr>
        <w:t xml:space="preserve">in vivo</w:t>
      </w:r>
      <w:r>
        <w:t xml:space="preserve"> </w:t>
      </w:r>
      <w:r>
        <w:t xml:space="preserve">observed P-gp induction measured in duodenal biopsies (</w:t>
      </w:r>
      <w:hyperlink w:anchor="Xa559bd5247f9128e74e6edcc17de37648e8cde6">
        <w:r>
          <w:rPr>
            <w:rStyle w:val="Hyperlink"/>
          </w:rPr>
          <w:t xml:space="preserve">Greiner 1999</w:t>
        </w:r>
      </w:hyperlink>
      <w:r>
        <w:t xml:space="preserve">). The derived E</w:t>
      </w:r>
      <w:r>
        <w:rPr>
          <w:vertAlign w:val="subscript"/>
        </w:rPr>
        <w:t xml:space="preserve">max</w:t>
      </w:r>
      <w:r>
        <w:t xml:space="preserve"> </w:t>
      </w:r>
      <w:r>
        <w:t xml:space="preserve">value was assumed to be applicable for P-gp induction in all tissues expressing P-gp. This needs to be considered when coupling the herein presented rifampicin model to PBPK models of potential victim drugs that are also subject to P-gp-mediated transport.</w:t>
      </w:r>
    </w:p>
    <w:p>
      <w:pPr>
        <w:pStyle w:val="BodyText"/>
      </w:pPr>
      <w:r>
        <w:t xml:space="preserve">Endogenous protein half-lives of OATP1B1, AADAC, and P-gp are not known. Thus, values reported for CYP3A4 were assumed in this PBPK model. These values were needed to implement induction of the three proteins. However, sensitivity of these parameters on simulated rifampicin plasma concentration is very low.</w:t>
      </w:r>
    </w:p>
    <w:p>
      <w:pPr>
        <w:pStyle w:val="BodyText"/>
      </w:pPr>
      <w:r>
        <w:t xml:space="preserve">The model features in particular induction of CYP3A4 based on aggregated</w:t>
      </w:r>
      <w:r>
        <w:t xml:space="preserve"> </w:t>
      </w:r>
      <w:r>
        <w:rPr>
          <w:iCs/>
          <w:i/>
        </w:rPr>
        <w:t xml:space="preserve">in vitro</w:t>
      </w:r>
      <w:r>
        <w:t xml:space="preserve"> </w:t>
      </w:r>
      <w:r>
        <w:t xml:space="preserve">CYP3A4 activity data in primary human hepatocytes (</w:t>
      </w:r>
      <w:hyperlink w:anchor="Xa559bd5247f9128e74e6edcc17de37648e8cde6">
        <w:r>
          <w:rPr>
            <w:rStyle w:val="Hyperlink"/>
          </w:rPr>
          <w:t xml:space="preserve">Templeton 2011</w:t>
        </w:r>
      </w:hyperlink>
      <w:r>
        <w:t xml:space="preserve">). The model also accounts for competitive inhibition of CYP3A4.</w:t>
      </w:r>
    </w:p>
    <w:bookmarkEnd w:id="151"/>
    <w:bookmarkStart w:id="153" w:name="references"/>
    <w:p>
      <w:pPr>
        <w:pStyle w:val="Heading1"/>
      </w:pPr>
      <w:r>
        <w:t xml:space="preserve">References</w:t>
      </w:r>
      <w:bookmarkStart w:id="main-references" w:name="main-references"/>
      <w:bookmarkEnd w:id="main-references"/>
    </w:p>
    <w:p>
      <w:pPr>
        <w:pStyle w:val="FirstParagraph"/>
      </w:pPr>
      <w:r>
        <w:rPr>
          <w:bCs/>
          <w:b/>
        </w:rPr>
        <w:t xml:space="preserve">Acocella 1972a</w:t>
      </w:r>
      <w:r>
        <w:t xml:space="preserve"> </w:t>
      </w:r>
      <w:r>
        <w:t xml:space="preserve">Acocella G., Lamarina A., Nicolis F. B., Pagani V., Segre G. Kinetic studies on rifampicin II. Multicompartmental analysis of the serum, urine and bile concentrations in subjects treated for one week Eur J Clin Pharmacol. 1972;5(2):111-115.</w:t>
      </w:r>
    </w:p>
    <w:p>
      <w:pPr>
        <w:pStyle w:val="BodyText"/>
      </w:pPr>
      <w:r>
        <w:rPr>
          <w:bCs/>
          <w:b/>
        </w:rPr>
        <w:t xml:space="preserve">Acocella 1972b</w:t>
      </w:r>
      <w:r>
        <w:t xml:space="preserve"> </w:t>
      </w:r>
      <w:r>
        <w:t xml:space="preserve">Acocella G, Bonollo L, Garimoldi M, Mainardi M, Tenconi LT, Nicolis FB. Kinetics of rifampicin and isoniazid administered alone and in combination to normal subjects and patients with liver disease. Gut. Gut. 1972 Jan;13(1):47-53.</w:t>
      </w:r>
    </w:p>
    <w:p>
      <w:pPr>
        <w:pStyle w:val="BodyText"/>
      </w:pPr>
      <w:r>
        <w:rPr>
          <w:bCs/>
          <w:b/>
        </w:rPr>
        <w:t xml:space="preserve">Acocella 1977</w:t>
      </w:r>
      <w:r>
        <w:t xml:space="preserve"> </w:t>
      </w:r>
      <w:r>
        <w:t xml:space="preserve">Acocella G, Bonollo L, Mainardi M, Margaroli P, Tenconi LT. Serum and urine concentrations of rifampicin administered by intravenous infusion in man. Arzneimittelforschung. 1977;27(6):1221-6.</w:t>
      </w:r>
    </w:p>
    <w:p>
      <w:pPr>
        <w:pStyle w:val="BodyText"/>
      </w:pPr>
      <w:r>
        <w:rPr>
          <w:bCs/>
          <w:b/>
        </w:rPr>
        <w:t xml:space="preserve">Acocella 1984</w:t>
      </w:r>
      <w:r>
        <w:t xml:space="preserve"> </w:t>
      </w:r>
      <w:r>
        <w:t xml:space="preserve">Acocella G, Segre G, Conti R, Pagani V, Pallanza R, Perna G, Simone P. Pharmacokinetic study on intravenous rifampicin in man. Pharmacol Res Commun. 1984 Jul;16(7):723-36.</w:t>
      </w:r>
    </w:p>
    <w:p>
      <w:pPr>
        <w:pStyle w:val="BodyText"/>
      </w:pPr>
      <w:r>
        <w:rPr>
          <w:bCs/>
          <w:b/>
        </w:rPr>
        <w:t xml:space="preserve">Acocella 1985</w:t>
      </w:r>
      <w:r>
        <w:t xml:space="preserve"> </w:t>
      </w:r>
      <w:r>
        <w:t xml:space="preserve">Acocella G, Conti R, Luisetti M, Pozzi E, Grassi C. Pharmacokinetic studies on antituberculosis regimens in humans. I. Absorption and metabolism of the compounds used in the initial intensive phase of the short-course regimens: single administration study.</w:t>
      </w:r>
    </w:p>
    <w:p>
      <w:pPr>
        <w:pStyle w:val="BodyText"/>
      </w:pPr>
      <w:r>
        <w:rPr>
          <w:bCs/>
          <w:b/>
        </w:rPr>
        <w:t xml:space="preserve">Agrawal 2005</w:t>
      </w:r>
      <w:r>
        <w:t xml:space="preserve"> </w:t>
      </w:r>
      <w:r>
        <w:t xml:space="preserve">Agrawal S, Panchagnula R. Implication of biopharmaceutics and pharmacokinetics of rifampicin in variable bioavailability from solid oral dosage forms. Biopharm Drug Dispos. 2005 Nov;26(8):321-34.</w:t>
      </w:r>
    </w:p>
    <w:p>
      <w:pPr>
        <w:pStyle w:val="BodyText"/>
      </w:pPr>
      <w:r>
        <w:rPr>
          <w:bCs/>
          <w:b/>
        </w:rPr>
        <w:t xml:space="preserve">Annaert 2010</w:t>
      </w:r>
      <w:r>
        <w:t xml:space="preserve"> </w:t>
      </w:r>
      <w:r>
        <w:t xml:space="preserve">Annaert P, Ye ZW, Stieger B, Augustijns P. Interaction of HIV protease inhibitors with OATP1B1, 1B3, and 2B1. Xenobiotica. 2010 Mar;40(3):163-76.</w:t>
      </w:r>
    </w:p>
    <w:p>
      <w:pPr>
        <w:pStyle w:val="BodyText"/>
      </w:pPr>
      <w:r>
        <w:rPr>
          <w:bCs/>
          <w:b/>
        </w:rPr>
        <w:t xml:space="preserve">Austin 2002</w:t>
      </w:r>
      <w:r>
        <w:t xml:space="preserve"> </w:t>
      </w:r>
      <w:r>
        <w:t xml:space="preserve">Austin RP, Barton P, Cockroft SL, Wenlock MC, Riley RJ. The influence of nonspecific microsomal binding on apparent intrinsic clearance, and its prediction from physicochemical properties. Drug Metab Dispos. 2002 Dec;30(12):1497-503.</w:t>
      </w:r>
    </w:p>
    <w:p>
      <w:pPr>
        <w:pStyle w:val="BodyText"/>
      </w:pPr>
      <w:r>
        <w:rPr>
          <w:bCs/>
          <w:b/>
        </w:rPr>
        <w:t xml:space="preserve">Baneyx 2014</w:t>
      </w:r>
      <w:r>
        <w:t xml:space="preserve"> </w:t>
      </w:r>
      <w:r>
        <w:t xml:space="preserve">Baneyx G, Parrott N, Meille C, Iliadis A, Lavé T. Physiologically based pharmacokinetic modeling of CYP3A4 induction by rifampicin in human: influence of time between substrate and inducer administration. Eur J Pharm Sci. 2014 Jun 2;56:1-15.</w:t>
      </w:r>
    </w:p>
    <w:p>
      <w:pPr>
        <w:pStyle w:val="BodyText"/>
      </w:pPr>
      <w:r>
        <w:rPr>
          <w:bCs/>
          <w:b/>
        </w:rPr>
        <w:t xml:space="preserve">Blume 1989</w:t>
      </w:r>
      <w:r>
        <w:t xml:space="preserve"> </w:t>
      </w:r>
      <w:r>
        <w:t xml:space="preserve">Blume H., Mutschler E., Graf E. Bioäquivalenz; Qualitätsbewertung wirkstoffgleicher Fertigarzneimittel Pharmazie in unserer Zeit 19.5 (1990): 223-223.</w:t>
      </w:r>
    </w:p>
    <w:p>
      <w:pPr>
        <w:pStyle w:val="BodyText"/>
      </w:pPr>
      <w:r>
        <w:rPr>
          <w:bCs/>
          <w:b/>
        </w:rPr>
        <w:t xml:space="preserve">Boman 1974</w:t>
      </w:r>
      <w:r>
        <w:t xml:space="preserve"> </w:t>
      </w:r>
      <w:r>
        <w:t xml:space="preserve">Boman G, Ringberger VA. Binding of rifampicin by human plasma proteins. Eur J Clin Pharmacol. 1974 Aug 23;7(5):369-73.</w:t>
      </w:r>
    </w:p>
    <w:p>
      <w:pPr>
        <w:pStyle w:val="BodyText"/>
      </w:pPr>
      <w:r>
        <w:rPr>
          <w:bCs/>
          <w:b/>
        </w:rPr>
        <w:t xml:space="preserve">Britz 2019</w:t>
      </w:r>
      <w:r>
        <w:t xml:space="preserve"> </w:t>
      </w:r>
      <w:r>
        <w:t xml:space="preserve">Britz H, Hanke N, Volz AK, Spigset O, Schwab M, Eissing T, Wendl T, Frechen S, Lehr T. Physiologically-Based Pharmacokinetic Models for CYP1A2 Drug-Drug Interaction Prediction: A Modeling Network of Fluvoxamine, Theophylline, Caffeine, Rifampicin, and Midazolam. CPT Pharmacometrics Syst Pharmacol. 2019 May;8(5):296-307.</w:t>
      </w:r>
    </w:p>
    <w:p>
      <w:pPr>
        <w:pStyle w:val="BodyText"/>
      </w:pPr>
      <w:r>
        <w:rPr>
          <w:bCs/>
          <w:b/>
        </w:rPr>
        <w:t xml:space="preserve">Buckley 2014</w:t>
      </w:r>
      <w:r>
        <w:t xml:space="preserve"> </w:t>
      </w:r>
      <w:r>
        <w:t xml:space="preserve">Buckley D. B., Wiegand C. M., Prentiss P. L., Fahmi O. A. Time-course of cytochrome P450 (CYP450) induction in cultured human hepatocytes: evaluation of activity and mRNA expression profiles for six inducible CYP450 enzymes. Poster no. P186. In 10th International ISSX Meeting (Vol. 29). 2014, January.</w:t>
      </w:r>
    </w:p>
    <w:p>
      <w:pPr>
        <w:pStyle w:val="BodyText"/>
      </w:pPr>
      <w:r>
        <w:rPr>
          <w:bCs/>
          <w:b/>
        </w:rPr>
        <w:t xml:space="preserve">Burger 2006</w:t>
      </w:r>
      <w:r>
        <w:t xml:space="preserve"> </w:t>
      </w:r>
      <w:r>
        <w:t xml:space="preserve">Burger DM, Agarwala S, Child M, Been-Tiktak A, Wang Y, Bertz R. Effect of rifampin on steady-state pharmacokinetics of atazanavir with ritonavir in healthy volunteers. Antimicrob Agents Chemother. 2006 Oct;50(10):3336-42.</w:t>
      </w:r>
    </w:p>
    <w:p>
      <w:pPr>
        <w:pStyle w:val="BodyText"/>
      </w:pPr>
      <w:r>
        <w:rPr>
          <w:bCs/>
          <w:b/>
        </w:rPr>
        <w:t xml:space="preserve">Chen 2010</w:t>
      </w:r>
      <w:r>
        <w:t xml:space="preserve"> </w:t>
      </w:r>
      <w:r>
        <w:t xml:space="preserve">Chen Y, Liu L, Laille E, Kumar G, Surapaneni S. In vitro assessment of cytochrome P450 inhibition and induction potential of azacitidine. Cancer Chemother Pharmacol. 2010 Apr;65(5):995-1000.</w:t>
      </w:r>
    </w:p>
    <w:p>
      <w:pPr>
        <w:pStyle w:val="BodyText"/>
      </w:pPr>
      <w:r>
        <w:rPr>
          <w:bCs/>
          <w:b/>
        </w:rPr>
        <w:t xml:space="preserve">Chouchane 1995</w:t>
      </w:r>
      <w:r>
        <w:t xml:space="preserve"> </w:t>
      </w:r>
      <w:r>
        <w:t xml:space="preserve">Chouchane N, Barre J, Toumi A, Tillement JP, Benakis A. Bioequivalence study of two pharmaceutical forms of rifampicin capsules in man. Eur J Drug Metab Pharmacokinet. 1995 Oct-Dec;20(4):315-20.</w:t>
      </w:r>
    </w:p>
    <w:p>
      <w:pPr>
        <w:pStyle w:val="BodyText"/>
      </w:pPr>
      <w:r>
        <w:rPr>
          <w:bCs/>
          <w:b/>
        </w:rPr>
        <w:t xml:space="preserve">Collett 2004</w:t>
      </w:r>
      <w:r>
        <w:t xml:space="preserve"> </w:t>
      </w:r>
      <w:r>
        <w:t xml:space="preserve">Collett A, Tanianis-Hughes J, Hallifax D, Warhurst G. Predicting P-glycoprotein effects on oral absorption: correlation of transport in Caco-2 with drug pharmacokinetics in wild-type and mdr1a(-/-) mice in vivo. Pharm Res. 2004 May;21(5):819-26.</w:t>
      </w:r>
    </w:p>
    <w:p>
      <w:pPr>
        <w:pStyle w:val="BodyText"/>
      </w:pPr>
      <w:r>
        <w:rPr>
          <w:bCs/>
          <w:b/>
        </w:rPr>
        <w:t xml:space="preserve">Dixit 2007</w:t>
      </w:r>
      <w:r>
        <w:t xml:space="preserve"> </w:t>
      </w:r>
      <w:r>
        <w:t xml:space="preserve">Dixit V, Hariparsad N, Li F, Desai P, Thummel KE, Unadkat JD. Cytochrome P450 enzymes and transporters induced by anti-human immunodeficiency virus protease inhibitors in human hepatocytes: implications for predicting clinical drug interactions. Drug Metab Dispos. 2007 Oct;35(10):1853-9.</w:t>
      </w:r>
    </w:p>
    <w:p>
      <w:pPr>
        <w:pStyle w:val="BodyText"/>
      </w:pPr>
      <w:r>
        <w:rPr>
          <w:bCs/>
          <w:b/>
        </w:rPr>
        <w:t xml:space="preserve">DrugBank DB01045</w:t>
      </w:r>
      <w:r>
        <w:t xml:space="preserve"> </w:t>
      </w:r>
      <w:r>
        <w:t xml:space="preserve">(https://www.drugbank.ca/drugs/DB01045)</w:t>
      </w:r>
    </w:p>
    <w:p>
      <w:pPr>
        <w:pStyle w:val="BodyText"/>
      </w:pPr>
      <w:r>
        <w:rPr>
          <w:bCs/>
          <w:b/>
        </w:rPr>
        <w:t xml:space="preserve">Emery 1999</w:t>
      </w:r>
      <w:r>
        <w:t xml:space="preserve"> </w:t>
      </w:r>
      <w:r>
        <w:t xml:space="preserve">Emery MG, Jubert C, Thummel KE, Kharasch ED. Duration of cytochrome P-450 2E1 (CYP2E1) inhibition and estimation of functional CYP2E1 enzyme half-life after single-dose disulfiram administration in humans. J Pharmacol Exp Ther. 1999 Oct;291(1):213-9.</w:t>
      </w:r>
    </w:p>
    <w:p>
      <w:pPr>
        <w:pStyle w:val="BodyText"/>
      </w:pPr>
      <w:r>
        <w:rPr>
          <w:bCs/>
          <w:b/>
        </w:rPr>
        <w:t xml:space="preserve">Eon Labs Manufacturing, Inc. 1997</w:t>
      </w:r>
      <w:r>
        <w:t xml:space="preserve"> </w:t>
      </w:r>
      <w:r>
        <w:t xml:space="preserve">Access Data FDA: https://www.accessdata.fda.gov/drugsatfda_docs/anda/97/064150review.pdf</w:t>
      </w:r>
    </w:p>
    <w:p>
      <w:pPr>
        <w:pStyle w:val="BodyText"/>
      </w:pPr>
      <w:r>
        <w:rPr>
          <w:bCs/>
          <w:b/>
        </w:rPr>
        <w:t xml:space="preserve">Furesz 1970</w:t>
      </w:r>
      <w:r>
        <w:t xml:space="preserve"> </w:t>
      </w:r>
      <w:r>
        <w:t xml:space="preserve">Furesz S. Chemical and biological properties of rifampicin. Antibiot Chemother. 1970;16:316-51.</w:t>
      </w:r>
    </w:p>
    <w:p>
      <w:pPr>
        <w:pStyle w:val="BodyText"/>
      </w:pPr>
      <w:r>
        <w:rPr>
          <w:bCs/>
          <w:b/>
        </w:rPr>
        <w:t xml:space="preserve">Geick 2001</w:t>
      </w:r>
      <w:r>
        <w:t xml:space="preserve"> </w:t>
      </w:r>
      <w:r>
        <w:t xml:space="preserve">Geick A, Eichelbaum M, Burk O. Nuclear receptor response elements mediate induction of intestinal MDR1 by rifampin. J Biol Chem. 2001 May 4;276(18):14581-7.</w:t>
      </w:r>
    </w:p>
    <w:p>
      <w:pPr>
        <w:pStyle w:val="BodyText"/>
      </w:pPr>
      <w:r>
        <w:rPr>
          <w:bCs/>
          <w:b/>
        </w:rPr>
        <w:t xml:space="preserve">Greenblatt 2003</w:t>
      </w:r>
      <w:r>
        <w:t xml:space="preserve"> </w:t>
      </w:r>
      <w:r>
        <w:t xml:space="preserve">Greenblatt DJ, von Moltke LL, Harmatz JS, Chen G, Weemhoff JL, Jen C, Kelley CJ, LeDuc BW, Zinny MA. Time course of recovery of cytochrome p450 3A function after single doses of grapefruit juice. Clin Pharmacol Ther. 2003 Aug;74(2):121-9.</w:t>
      </w:r>
    </w:p>
    <w:p>
      <w:pPr>
        <w:pStyle w:val="BodyText"/>
      </w:pPr>
      <w:r>
        <w:rPr>
          <w:bCs/>
          <w:b/>
        </w:rPr>
        <w:t xml:space="preserve">Greiner 1999</w:t>
      </w:r>
      <w:r>
        <w:t xml:space="preserve"> </w:t>
      </w:r>
      <w:r>
        <w:t xml:space="preserve">Greiner B, Eichelbaum M, Fritz P, Kreichgauer HP, von Richter O, Zundler J, Kroemer HK. The role of intestinal P-glycoprotein in the interaction of digoxin and rifampin. J Clin Invest. 1999 Jul;104(2):147-53.</w:t>
      </w:r>
    </w:p>
    <w:p>
      <w:pPr>
        <w:pStyle w:val="BodyText"/>
      </w:pPr>
      <w:r>
        <w:rPr>
          <w:bCs/>
          <w:b/>
        </w:rPr>
        <w:t xml:space="preserve">Hanke 2018</w:t>
      </w:r>
      <w:r>
        <w:t xml:space="preserve"> </w:t>
      </w:r>
      <w:r>
        <w:t xml:space="preserve">Hanke N, Frechen S, Moj D, Britz H, Eissing T, Wendl T, Lehr T. PBPK Models for CYP3A4 and P-gp DDI Prediction: A Modeling Network of Rifampicin, Itraconazole, Clarithromycin, Midazolam, Alfentanil, and Digoxin. CPT Pharmacometrics Syst Pharmacol. 2018 Oct;7(10):647-659.</w:t>
      </w:r>
    </w:p>
    <w:p>
      <w:pPr>
        <w:pStyle w:val="BodyText"/>
      </w:pPr>
      <w:r>
        <w:rPr>
          <w:bCs/>
          <w:b/>
        </w:rPr>
        <w:t xml:space="preserve">Hirano 2006</w:t>
      </w:r>
      <w:r>
        <w:t xml:space="preserve"> </w:t>
      </w:r>
      <w:r>
        <w:t xml:space="preserve">Hirano M, Maeda K, Shitara Y, Sugiyama Y. Drug-drug interaction between pitavastatin and various drugs via OATP1B1. Drug Metab Dispos. 2006 Jul;34(7):1229-36.</w:t>
      </w:r>
    </w:p>
    <w:p>
      <w:pPr>
        <w:pStyle w:val="BodyText"/>
      </w:pPr>
      <w:r>
        <w:rPr>
          <w:bCs/>
          <w:b/>
        </w:rPr>
        <w:t xml:space="preserve">Kajosaari 2005</w:t>
      </w:r>
      <w:r>
        <w:t xml:space="preserve"> </w:t>
      </w:r>
      <w:r>
        <w:t xml:space="preserve">Kajosaari LI, Laitila J, Neuvonen PJ, Backman JT. Metabolism of repaglinide by CYP2C8 and CYP3A4 in vitro: effect of fibrates and rifampicin. Basic Clin Pharmacol Toxicol. 2005 Oct;97(4):249-56.</w:t>
      </w:r>
    </w:p>
    <w:p>
      <w:pPr>
        <w:pStyle w:val="BodyText"/>
      </w:pPr>
      <w:r>
        <w:rPr>
          <w:bCs/>
          <w:b/>
        </w:rPr>
        <w:t xml:space="preserve">Kolars 1992</w:t>
      </w:r>
      <w:r>
        <w:t xml:space="preserve"> </w:t>
      </w:r>
      <w:r>
        <w:t xml:space="preserve">Kolars JC, Schmiedlin-Ren P, Schuetz JD, Fang C, Watkins PB. Identification of rifampin-inducible P450IIIA4 (CYP3A4) in human small bowel enterocytes. J Clin Invest. 1992 Nov;90(5):1871-8.</w:t>
      </w:r>
    </w:p>
    <w:p>
      <w:pPr>
        <w:pStyle w:val="BodyText"/>
      </w:pPr>
      <w:r>
        <w:rPr>
          <w:bCs/>
          <w:b/>
        </w:rPr>
        <w:t xml:space="preserve">Kuepfer 2016</w:t>
      </w:r>
      <w:r>
        <w:t xml:space="preserve"> </w:t>
      </w:r>
      <w:r>
        <w:t xml:space="preserve">Kuepfer L, Niederalt C, Wendl T, Schlender JF, Willmann S, Lippert J, Block M, Eissing T, Teutonico D. Applied Concepts in PBPK Modeling: How to Build a PBPK/PD Model.CPT Pharmacometrics Syst Pharmacol. 2016 Oct;5(10):516-531.</w:t>
      </w:r>
    </w:p>
    <w:p>
      <w:pPr>
        <w:pStyle w:val="BodyText"/>
      </w:pPr>
      <w:r>
        <w:rPr>
          <w:bCs/>
          <w:b/>
        </w:rPr>
        <w:t xml:space="preserve">Kyrklund 2000</w:t>
      </w:r>
      <w:r>
        <w:t xml:space="preserve"> </w:t>
      </w:r>
      <w:r>
        <w:t xml:space="preserve">Kyrklund C, Backman JT, Kivistö KT, Neuvonen M, Laitila J, Neuvonen PJ. Rifampin greatly reduces plasma simvastatin and simvastatin acid concentrations. Clin Pharmacol Ther. 2000 Dec;68(6):592-7.</w:t>
      </w:r>
    </w:p>
    <w:p>
      <w:pPr>
        <w:pStyle w:val="BodyText"/>
      </w:pPr>
      <w:r>
        <w:rPr>
          <w:bCs/>
          <w:b/>
        </w:rPr>
        <w:t xml:space="preserve">Loos 1985</w:t>
      </w:r>
      <w:r>
        <w:t xml:space="preserve"> </w:t>
      </w:r>
      <w:r>
        <w:t xml:space="preserve">Loos U, Musch E, Jensen JC, Mikus G, Schwabe HK, Eichelbaum M. Pharmacokinetics of oral and intravenous rifampicin during chronic administration. Klin Wochenschr. 1985 Dec 2;63(23):1205-11.</w:t>
      </w:r>
    </w:p>
    <w:p>
      <w:pPr>
        <w:pStyle w:val="BodyText"/>
      </w:pPr>
      <w:r>
        <w:rPr>
          <w:bCs/>
          <w:b/>
        </w:rPr>
        <w:t xml:space="preserve">Meyer 2012</w:t>
      </w:r>
      <w:r>
        <w:t xml:space="preserve"> </w:t>
      </w:r>
      <w:r>
        <w:t xml:space="preserve">Meyer M, Schneckener S, Ludewig B, Kuepfer L, Lippert J. Using expression data for quantification of active processes in physiologically based pharmacokinetic modeling. Drug Metab Dispos. 2012 May;40(5):892-901.</w:t>
      </w:r>
    </w:p>
    <w:p>
      <w:pPr>
        <w:pStyle w:val="BodyText"/>
      </w:pPr>
      <w:r>
        <w:rPr>
          <w:bCs/>
          <w:b/>
        </w:rPr>
        <w:t xml:space="preserve">Mills 2004</w:t>
      </w:r>
      <w:r>
        <w:t xml:space="preserve"> </w:t>
      </w:r>
      <w:r>
        <w:t xml:space="preserve">Mills JB, Rose KA, Sadagopan N, Sahi J, de Morais SM. Induction of drug metabolism enzymes and MDR1 using a novel human hepatocyte cell line. J Pharmacol Exp Ther. 2004 Apr;309(1):303-9.</w:t>
      </w:r>
    </w:p>
    <w:p>
      <w:pPr>
        <w:pStyle w:val="BodyText"/>
      </w:pPr>
      <w:r>
        <w:rPr>
          <w:bCs/>
          <w:b/>
        </w:rPr>
        <w:t xml:space="preserve">Moore 2000</w:t>
      </w:r>
      <w:r>
        <w:t xml:space="preserve"> </w:t>
      </w:r>
      <w:r>
        <w:t xml:space="preserve">Moore LB, Parks DJ, Jones SA, Bledsoe RK, Consler TG, Stimmel JB, Goodwin B, Liddle C, Blanchard SG, Willson TM, Collins JL, Kliewer SA.J Biol Chem. Orphan Nuclear Receptors Constitutive Androstane Receptor and Pregnane X Receptor Share Xenobiotic and Steroid Ligands. 2000 May 19;275(20):15122-7.</w:t>
      </w:r>
    </w:p>
    <w:p>
      <w:pPr>
        <w:pStyle w:val="BodyText"/>
      </w:pPr>
      <w:r>
        <w:rPr>
          <w:bCs/>
          <w:b/>
        </w:rPr>
        <w:t xml:space="preserve">Nakajima 2011</w:t>
      </w:r>
      <w:r>
        <w:t xml:space="preserve"> </w:t>
      </w:r>
      <w:r>
        <w:t xml:space="preserve">Nakajima A, Fukami T, Kobayashi Y, Watanabe A, Nakajima M, Yokoi T. Human arylacetamide deacetylase is responsible for deacetylation of rifamycins: rifampicin, rifabutin, and rifapentine. Biochem Pharmacol. 2011 Dec 1;82(11):1747-56.</w:t>
      </w:r>
    </w:p>
    <w:p>
      <w:pPr>
        <w:pStyle w:val="BodyText"/>
      </w:pPr>
      <w:r>
        <w:rPr>
          <w:bCs/>
          <w:b/>
        </w:rPr>
        <w:t xml:space="preserve">Nishimura 2013</w:t>
      </w:r>
      <w:r>
        <w:t xml:space="preserve"> </w:t>
      </w:r>
      <w:r>
        <w:t xml:space="preserve">Nishimura M, Yaguti H, Yoshitsugu H, Naito S, Satoh T. Tissue distribution of mRNA expression of human cytochrome P450 isoforms assessed by high-sensitivity real-time reverse transcription PCR. Yakugaku Zasshi. 2003 May;123(5):369-75.</w:t>
      </w:r>
    </w:p>
    <w:p>
      <w:pPr>
        <w:pStyle w:val="BodyText"/>
      </w:pPr>
      <w:r>
        <w:rPr>
          <w:bCs/>
          <w:b/>
        </w:rPr>
        <w:t xml:space="preserve">Nitti 1977</w:t>
      </w:r>
      <w:r>
        <w:t xml:space="preserve"> </w:t>
      </w:r>
      <w:r>
        <w:t xml:space="preserve">Nitti V, Virgilio R, Patricolo MR, Iuliano A. Pharmacokinetic study of intravenous rifampicin. Chemotherapy. 1977;23(1):1-6.</w:t>
      </w:r>
    </w:p>
    <w:p>
      <w:pPr>
        <w:pStyle w:val="BodyText"/>
      </w:pPr>
      <w:r>
        <w:rPr>
          <w:bCs/>
          <w:b/>
        </w:rPr>
        <w:t xml:space="preserve">Obach 2007</w:t>
      </w:r>
      <w:r>
        <w:t xml:space="preserve"> </w:t>
      </w:r>
      <w:r>
        <w:t xml:space="preserve">Obach RS, Walsky RL, Venkatakrishnan K. Mechanism-based inactivation of human cytochrome p450 enzymes and the prediction of drug-drug interactions. Drug Metab Dispos. 2007 Feb;35(2):246-55.</w:t>
      </w:r>
    </w:p>
    <w:p>
      <w:pPr>
        <w:pStyle w:val="BodyText"/>
      </w:pPr>
      <w:r>
        <w:rPr>
          <w:bCs/>
          <w:b/>
        </w:rPr>
        <w:t xml:space="preserve">OSP Database</w:t>
      </w:r>
      <w:r>
        <w:t xml:space="preserve"> </w:t>
      </w:r>
      <w:hyperlink r:id="rId152">
        <w:r>
          <w:rPr>
            <w:rStyle w:val="Hyperlink"/>
          </w:rPr>
          <w:t xml:space="preserve">https://github.com/Open-Systems-Pharmacology/Database-for-observed-data</w:t>
        </w:r>
      </w:hyperlink>
    </w:p>
    <w:p>
      <w:pPr>
        <w:pStyle w:val="BodyText"/>
      </w:pPr>
      <w:r>
        <w:rPr>
          <w:bCs/>
          <w:b/>
        </w:rPr>
        <w:t xml:space="preserve">Panchagnula 2007</w:t>
      </w:r>
      <w:r>
        <w:t xml:space="preserve"> </w:t>
      </w:r>
      <w:r>
        <w:t xml:space="preserve">Panchagnula R., Gulati I., Varma M., Raj Y.A. Dissolution methodology for evaluation of rifampicin-containing fixed-dose combinations using biopharmaceutic classification system based approach. Clin. Res. Regul. Aff. 24, 61–76 (2007)</w:t>
      </w:r>
    </w:p>
    <w:p>
      <w:pPr>
        <w:pStyle w:val="BodyText"/>
      </w:pPr>
      <w:r>
        <w:rPr>
          <w:bCs/>
          <w:b/>
        </w:rPr>
        <w:t xml:space="preserve">Peloquin 1997</w:t>
      </w:r>
      <w:r>
        <w:t xml:space="preserve"> </w:t>
      </w:r>
      <w:r>
        <w:t xml:space="preserve">Peloquin CA, Jaresko GS, Yong CL, Keung AC, Bulpitt AE, Jelliffe RW. Population pharmacokinetic modeling of isoniazid, rifampin, and pyrazinamide. Antimicrob Agents Chemother. 1997 Dec;41(12):2670-9.</w:t>
      </w:r>
    </w:p>
    <w:p>
      <w:pPr>
        <w:pStyle w:val="BodyText"/>
      </w:pPr>
      <w:r>
        <w:rPr>
          <w:bCs/>
          <w:b/>
        </w:rPr>
        <w:t xml:space="preserve">Peloquin 1999</w:t>
      </w:r>
      <w:r>
        <w:t xml:space="preserve"> </w:t>
      </w:r>
      <w:r>
        <w:t xml:space="preserve">Peloquin CA, Namdar R, Singleton MD, Nix DE. Pharmacokinetics of rifampin under fasting conditions, with food, and with antacids. Chest. 1999 Jan;115(1):12-8.</w:t>
      </w:r>
    </w:p>
    <w:p>
      <w:pPr>
        <w:pStyle w:val="BodyText"/>
      </w:pPr>
      <w:r>
        <w:rPr>
          <w:bCs/>
          <w:b/>
        </w:rPr>
        <w:t xml:space="preserve">PK-Sim Ontogeny Database Version 7.3</w:t>
      </w:r>
      <w:r>
        <w:t xml:space="preserve"> </w:t>
      </w:r>
      <w:r>
        <w:t xml:space="preserve">(https://github.com/Open-Systems-Pharmacology/OSPSuite.Documentation/blob/38cf71b384cfc25cfa0ce4d2f3addfd32757e13b/PK-Sim%20Ontogeny%20Database%20Version%207.3.pdf)</w:t>
      </w:r>
    </w:p>
    <w:p>
      <w:pPr>
        <w:pStyle w:val="BodyText"/>
      </w:pPr>
      <w:r>
        <w:rPr>
          <w:bCs/>
          <w:b/>
        </w:rPr>
        <w:t xml:space="preserve">Rae 2001</w:t>
      </w:r>
      <w:r>
        <w:t xml:space="preserve"> </w:t>
      </w:r>
      <w:r>
        <w:t xml:space="preserve">Rae JM, Johnson MD, Lippman ME, Flockhart DA. Rifampin is a selective, pleiotropic inducer of drug metabolism genes in human hepatocytes: studies with cDNA and oligonucleotide expression arrays. J Pharmacol Exp Ther. 2001 Dec;299(3):849-57.</w:t>
      </w:r>
    </w:p>
    <w:p>
      <w:pPr>
        <w:pStyle w:val="BodyText"/>
      </w:pPr>
      <w:r>
        <w:rPr>
          <w:bCs/>
          <w:b/>
        </w:rPr>
        <w:t xml:space="preserve">Reitman 2011</w:t>
      </w:r>
      <w:r>
        <w:t xml:space="preserve"> </w:t>
      </w:r>
      <w:r>
        <w:t xml:space="preserve">Reitman ML, Chu X, Cai X, Yabut J, Venkatasubramanian R, Zajic S, Stone JA, Ding Y, Witter R, Gibson C, Roupe K, Evers R, Wagner JA, Stoch A. Rifampin’s acute inhibitory and chronic inductive drug interactions: experimental and model-based approaches to drug-drug interaction trial design. Clin Pharmacol Ther. 2011 Feb;89(2):234-42. doi: 10.1038/clpt.2010.271.</w:t>
      </w:r>
    </w:p>
    <w:p>
      <w:pPr>
        <w:pStyle w:val="BodyText"/>
      </w:pPr>
      <w:r>
        <w:rPr>
          <w:bCs/>
          <w:b/>
        </w:rPr>
        <w:t xml:space="preserve">Renwick 2000</w:t>
      </w:r>
      <w:r>
        <w:t xml:space="preserve"> </w:t>
      </w:r>
      <w:r>
        <w:t xml:space="preserve">Renwick AB, Watts PS, Edwards RJ, Barton PT, Guyonnet I, Price RJ, Tredger JM, Pelkonen O, Boobis AR, Lake BG. Differential maintenance of cytochrome P450 enzymes in cultured precision-cut human liver slices. Drug Metab Dispos. 2000 Oct;28(10):1202-9.</w:t>
      </w:r>
    </w:p>
    <w:p>
      <w:pPr>
        <w:pStyle w:val="BodyText"/>
      </w:pPr>
      <w:r>
        <w:rPr>
          <w:bCs/>
          <w:b/>
        </w:rPr>
        <w:t xml:space="preserve">Rodrigues 1999</w:t>
      </w:r>
      <w:r>
        <w:t xml:space="preserve"> </w:t>
      </w:r>
      <w:r>
        <w:t xml:space="preserve">Rodrigues AD. Integrated cytochrome P450 reaction phenotyping: attempting to bridge the gap between cDNA-expressed cytochromes P450 and native human liver microsomes. Biochem Pharmacol. 1999 Mar 1;57(5):465-80.</w:t>
      </w:r>
    </w:p>
    <w:p>
      <w:pPr>
        <w:pStyle w:val="BodyText"/>
      </w:pPr>
      <w:r>
        <w:rPr>
          <w:bCs/>
          <w:b/>
        </w:rPr>
        <w:t xml:space="preserve">Sahi 2000</w:t>
      </w:r>
      <w:r>
        <w:t xml:space="preserve"> </w:t>
      </w:r>
      <w:r>
        <w:t xml:space="preserve">Sahi J, Hamilton G, Sinz M, Barros S, Huang SM, Lesko LJ, LeCluyse EL. Effect of troglitazone on cytochrome P450 enzymes in primary cultures of human and rat hepatocytes. Xenobiotica. 2000 Mar;30(3):273-84.</w:t>
      </w:r>
    </w:p>
    <w:p>
      <w:pPr>
        <w:pStyle w:val="BodyText"/>
      </w:pPr>
      <w:r>
        <w:rPr>
          <w:bCs/>
          <w:b/>
        </w:rPr>
        <w:t xml:space="preserve">sanofi-aventis U.S. LLC. 2013</w:t>
      </w:r>
      <w:r>
        <w:t xml:space="preserve"> </w:t>
      </w:r>
      <w:r>
        <w:t xml:space="preserve">Access Data FDA: https://www.accessdata.fda.gov/drugsatfda_docs/label/2013/050420s075,050627s014lbl.pdf</w:t>
      </w:r>
    </w:p>
    <w:p>
      <w:pPr>
        <w:pStyle w:val="BodyText"/>
      </w:pPr>
      <w:r>
        <w:rPr>
          <w:bCs/>
          <w:b/>
        </w:rPr>
        <w:t xml:space="preserve">Shou 2008</w:t>
      </w:r>
      <w:r>
        <w:t xml:space="preserve"> </w:t>
      </w:r>
      <w:r>
        <w:t xml:space="preserve">Shou M, Hayashi M, Pan Y, Xu Y, Morrissey K, Xu L, Skiles GL. Modeling, prediction, and in vitro in vivo correlation of CYP3A4 induction. Drug Metab Dispos. 2008 Nov;36(11):2355-70.</w:t>
      </w:r>
    </w:p>
    <w:p>
      <w:pPr>
        <w:pStyle w:val="BodyText"/>
      </w:pPr>
      <w:r>
        <w:rPr>
          <w:bCs/>
          <w:b/>
        </w:rPr>
        <w:t xml:space="preserve">Smythe 2012</w:t>
      </w:r>
      <w:r>
        <w:t xml:space="preserve"> </w:t>
      </w:r>
      <w:r>
        <w:t xml:space="preserve">Smythe W, Khandelwal A, Merle C, Rustomjee R, Gninafon M, Bocar Lo M, Sow OB, Olliaro PL, Lienhardt C, Horton J, Smith P, McIlleron H, Simonsson US. A semimechanistic pharmacokinetic-enzyme turnover model for rifampin autoinduction in adult tuberculosis patients. Antimicrob Agents Chemother. 2012 Apr;56(4):2091-8.</w:t>
      </w:r>
    </w:p>
    <w:p>
      <w:pPr>
        <w:pStyle w:val="BodyText"/>
      </w:pPr>
      <w:r>
        <w:rPr>
          <w:bCs/>
          <w:b/>
        </w:rPr>
        <w:t xml:space="preserve">Staudinger 2010</w:t>
      </w:r>
      <w:r>
        <w:t xml:space="preserve"> </w:t>
      </w:r>
      <w:r>
        <w:t xml:space="preserve">Staudinger JL, Xu C, Cui YJ, Klaassen CD. Nuclear receptor-mediated regulation of carboxylesterase expression and activity. Expert Opin Drug Metab Toxicol. 2010 Mar;6(3):261-71.</w:t>
      </w:r>
    </w:p>
    <w:p>
      <w:pPr>
        <w:pStyle w:val="BodyText"/>
      </w:pPr>
      <w:r>
        <w:rPr>
          <w:bCs/>
          <w:b/>
        </w:rPr>
        <w:t xml:space="preserve">Stone 2004</w:t>
      </w:r>
      <w:r>
        <w:t xml:space="preserve"> </w:t>
      </w:r>
      <w:r>
        <w:t xml:space="preserve">Stone JA, Migoya EM, Hickey L, Winchell GA, Deutsch PJ, Ghosh K, Freeman A, Bi S, Desai R, Dilzer SC, Lasseter KC, Kraft WK, Greenberg H, Waldman SA. Potential for interactions between caspofungin and nelfinavir or rifampin. Antimicrob Agents Chemother. 2004 Nov;48(11):4306-14.</w:t>
      </w:r>
    </w:p>
    <w:p>
      <w:pPr>
        <w:pStyle w:val="BodyText"/>
      </w:pPr>
      <w:r>
        <w:rPr>
          <w:bCs/>
          <w:b/>
        </w:rPr>
        <w:t xml:space="preserve">Templeton 2011</w:t>
      </w:r>
      <w:r>
        <w:t xml:space="preserve"> </w:t>
      </w:r>
      <w:r>
        <w:t xml:space="preserve">Templeton IE, Houston JB, Galetin A. Predictive utility of in vitro rifampin induction data generated in fresh and cryopreserved human hepatocytes, Fa2N-4, and HepaRG cells. Drug Metab Dispos. 2011 Oct;39(10):1921-9.</w:t>
      </w:r>
    </w:p>
    <w:p>
      <w:pPr>
        <w:pStyle w:val="BodyText"/>
      </w:pPr>
      <w:r>
        <w:rPr>
          <w:bCs/>
          <w:b/>
        </w:rPr>
        <w:t xml:space="preserve">The Merck Index</w:t>
      </w:r>
      <w:r>
        <w:t xml:space="preserve"> </w:t>
      </w:r>
      <w:r>
        <w:t xml:space="preserve">The Merck Index Online: Rifampin (https://www.rsc.org/Merck-Index/monograph/m9611/rifampin)</w:t>
      </w:r>
    </w:p>
    <w:p>
      <w:pPr>
        <w:pStyle w:val="BodyText"/>
      </w:pPr>
      <w:r>
        <w:rPr>
          <w:bCs/>
          <w:b/>
        </w:rPr>
        <w:t xml:space="preserve">Tirona 2003</w:t>
      </w:r>
      <w:r>
        <w:t xml:space="preserve"> </w:t>
      </w:r>
      <w:r>
        <w:t xml:space="preserve">Tirona RG, Leake BF, Wolkoff AW, Kim RB. Human organic anion transporting polypeptide-C (SLC21A6) is a major determinant of rifampin-mediated pregnane X receptor activation. J Pharmacol Exp Ther. 2003 Jan;304(1):223-8.</w:t>
      </w:r>
    </w:p>
    <w:p>
      <w:pPr>
        <w:pStyle w:val="BodyText"/>
      </w:pPr>
      <w:r>
        <w:rPr>
          <w:bCs/>
          <w:b/>
        </w:rPr>
        <w:t xml:space="preserve">Türk 2019</w:t>
      </w:r>
      <w:r>
        <w:t xml:space="preserve"> </w:t>
      </w:r>
      <w:r>
        <w:t xml:space="preserve">Türk D, Hanke N, Wolf S, Frechen S, Eissing T, Wendl T, Schwab M, Lehr T. Physiologically Based Pharmacokinetic Models for Prediction of Complex CYP2C8 and OATP1B1 (SLCO1B1) Drug-Drug-Gene Interactions: A Modeling Network of Gemfibrozil, Repaglinide, Pioglitazone, Rifampicin, Clarithromycin and Itraconazole. Clin Pharmacokinet. 2019 Dec;58(12):1595-1607.</w:t>
      </w:r>
    </w:p>
    <w:p>
      <w:pPr>
        <w:pStyle w:val="BodyText"/>
      </w:pPr>
      <w:r>
        <w:rPr>
          <w:bCs/>
          <w:b/>
        </w:rPr>
        <w:t xml:space="preserve">Westphal 2000</w:t>
      </w:r>
      <w:r>
        <w:t xml:space="preserve"> </w:t>
      </w:r>
      <w:r>
        <w:t xml:space="preserve">Westphal K, Weinbrenner A, Zschiesche M, Franke G, Knoke M, Oertel R, Fritz P, von Richter O, Warzok R, Hachenberg T, Kauffmann HM, Schrenk D, Terhaag B, Kroemer HK, Siegmund W. Induction of P-glycoprotein by rifampin increases intestinal secretion of talinolol in human beings: a new type of drug/drug interaction. Clin Pharmacol Ther. 2000 Oct;68(4):345-55.</w:t>
      </w:r>
    </w:p>
    <w:p>
      <w:pPr>
        <w:pStyle w:val="BodyText"/>
      </w:pPr>
      <w:r>
        <w:rPr>
          <w:bCs/>
          <w:b/>
        </w:rPr>
        <w:t xml:space="preserve">Williamson 2013</w:t>
      </w:r>
      <w:r>
        <w:t xml:space="preserve"> </w:t>
      </w:r>
      <w:r>
        <w:t xml:space="preserve">Williamson B, Dooley KE, Zhang Y, Back DJ, Owen A. Induction of influx and efflux transporters and cytochrome P450 3A4 in primary human hepatocytes by rifampin, rifabutin, and rifapentine. Antimicrob Agents Chemother. 2013 Dec;57(12):6366-9.</w:t>
      </w:r>
    </w:p>
    <w:p>
      <w:pPr>
        <w:pStyle w:val="BodyText"/>
      </w:pPr>
      <w:r>
        <w:rPr>
          <w:bCs/>
          <w:b/>
        </w:rPr>
        <w:t xml:space="preserve">Zhang 2012</w:t>
      </w:r>
      <w:r>
        <w:t xml:space="preserve"> </w:t>
      </w:r>
      <w:r>
        <w:t xml:space="preserve">Zhang Y, Cheng X, Aleksunes L, Klaassen CD. Transcription factor-mediated regulation of carboxylesterase enzymes in livers of mice. Drug Metab Dispos. 2012 Jun;40(6):1191-7.</w:t>
      </w:r>
    </w:p>
    <w:bookmarkEnd w:id="15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hyperlink" Id="rId152" Target="https://github.com/Open-Systems-Pharmacology/Database-for-observed-data" TargetMode="External" /><Relationship Type="http://schemas.openxmlformats.org/officeDocument/2006/relationships/hyperlink" Id="rId44" Target="https://github.com/Open-Systems-Pharmacology/Suite/releases/tag/v10.0" TargetMode="External" /></Relationships>
</file>

<file path=word/_rels/footnotes.xml.rels><?xml version="1.0" encoding="UTF-8"?><Relationships xmlns="http://schemas.openxmlformats.org/package/2006/relationships"><Relationship Type="http://schemas.openxmlformats.org/officeDocument/2006/relationships/hyperlink" Id="rId152" Target="https://github.com/Open-Systems-Pharmacology/Database-for-observed-data" TargetMode="External" /><Relationship Type="http://schemas.openxmlformats.org/officeDocument/2006/relationships/hyperlink" Id="rId44" Target="https://github.com/Open-Systems-Pharmacology/Suite/releases/tag/v1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Rifampicin in healthy adults</dc:title>
  <dc:creator/>
  <cp:keywords/>
  <dcterms:created xsi:type="dcterms:W3CDTF">2025-05-12T10:00:54Z</dcterms:created>
  <dcterms:modified xsi:type="dcterms:W3CDTF">2025-05-12T10:00:54Z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Version1.0-OSP12.0based on Model Snapshot and Evaluation Planhttps://github.com/Open-Systems-Pharmacology/Rifampicin-Model/releases/tag/v1.0OSP Version12.0Qualification Framework Version3.3This evaluation report and the corresponding PK-Sim project file are filed at:https://github.com/Open-Systems-Pharmacology/OSP-PBPK-Model-Library/</vt:lpwstr>
  </property>
  <property fmtid="{D5CDD505-2E9C-101B-9397-08002B2CF9AE}" pid="3" name="subtitle">
    <vt:lpwstr/>
  </property>
</Properties>
</file>